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ascii="仿宋_GB2312" w:hAnsi="仿宋_GB2312" w:eastAsia="仿宋_GB2312"/>
          <w:b/>
          <w:sz w:val="24"/>
        </w:rPr>
        <w:t>项目名称</w:t>
      </w:r>
      <w:r>
        <w:rPr>
          <w:rFonts w:hint="eastAsia" w:ascii="仿宋_GB2312" w:hAnsi="仿宋_GB2312" w:eastAsia="仿宋_GB2312"/>
          <w:b/>
          <w:sz w:val="24"/>
        </w:rPr>
        <w:t>：</w:t>
      </w:r>
      <w:bookmarkStart w:id="0" w:name="_GoBack"/>
      <w:r>
        <w:rPr>
          <w:rFonts w:hint="eastAsia" w:ascii="仿宋_GB2312" w:hAnsi="仿宋_GB2312" w:eastAsia="仿宋_GB2312"/>
          <w:sz w:val="24"/>
        </w:rPr>
        <w:t>永春县城镇低效用地再开发专项规划（</w:t>
      </w:r>
      <w:r>
        <w:rPr>
          <w:rFonts w:ascii="仿宋_GB2312" w:hAnsi="仿宋_GB2312" w:eastAsia="仿宋_GB2312"/>
          <w:sz w:val="24"/>
        </w:rPr>
        <w:t>2023-2035年）</w:t>
      </w:r>
      <w:bookmarkEnd w:id="0"/>
    </w:p>
    <w:p>
      <w:pPr>
        <w:spacing w:line="360" w:lineRule="auto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ascii="仿宋_GB2312" w:hAnsi="仿宋_GB2312" w:eastAsia="仿宋_GB2312"/>
          <w:b/>
          <w:sz w:val="24"/>
        </w:rPr>
        <w:t>项目类型</w:t>
      </w:r>
      <w:r>
        <w:rPr>
          <w:rFonts w:hint="eastAsia" w:ascii="仿宋_GB2312" w:hAnsi="仿宋_GB2312" w:eastAsia="仿宋_GB2312"/>
          <w:b/>
          <w:sz w:val="24"/>
        </w:rPr>
        <w:t>：</w:t>
      </w:r>
      <w:r>
        <w:rPr>
          <w:rFonts w:hint="eastAsia" w:ascii="仿宋_GB2312" w:hAnsi="仿宋_GB2312" w:eastAsia="仿宋_GB2312"/>
          <w:sz w:val="24"/>
        </w:rPr>
        <w:t>专项规划</w:t>
      </w:r>
    </w:p>
    <w:p>
      <w:pPr>
        <w:spacing w:line="360" w:lineRule="auto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三、</w:t>
      </w:r>
      <w:r>
        <w:rPr>
          <w:rFonts w:ascii="仿宋_GB2312" w:hAnsi="仿宋_GB2312" w:eastAsia="仿宋_GB2312"/>
          <w:b/>
          <w:sz w:val="24"/>
        </w:rPr>
        <w:t>完成单位</w:t>
      </w:r>
      <w:r>
        <w:rPr>
          <w:rFonts w:hint="eastAsia" w:ascii="仿宋_GB2312" w:hAnsi="仿宋_GB2312" w:eastAsia="仿宋_GB2312"/>
          <w:b/>
          <w:sz w:val="24"/>
        </w:rPr>
        <w:t>：</w:t>
      </w:r>
      <w:r>
        <w:rPr>
          <w:rFonts w:ascii="仿宋_GB2312" w:hAnsi="仿宋_GB2312" w:eastAsia="仿宋_GB2312"/>
          <w:sz w:val="24"/>
        </w:rPr>
        <w:t>厦门大学规划设计研究院有限公司</w:t>
      </w:r>
      <w:r>
        <w:rPr>
          <w:rFonts w:hint="eastAsia" w:ascii="仿宋_GB2312" w:hAnsi="仿宋_GB2312" w:eastAsia="仿宋_GB2312"/>
          <w:sz w:val="24"/>
          <w:lang w:eastAsia="zh-CN"/>
        </w:rPr>
        <w:t>、</w:t>
      </w:r>
      <w:r>
        <w:rPr>
          <w:rFonts w:hint="eastAsia" w:ascii="仿宋_GB2312" w:hAnsi="仿宋_GB2312" w:eastAsia="仿宋_GB2312"/>
          <w:sz w:val="24"/>
          <w:lang w:val="en-US" w:eastAsia="zh-CN"/>
        </w:rPr>
        <w:t>厦门大学</w:t>
      </w:r>
    </w:p>
    <w:p>
      <w:pPr>
        <w:spacing w:line="360" w:lineRule="auto"/>
        <w:rPr>
          <w:rFonts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四、</w:t>
      </w:r>
      <w:r>
        <w:rPr>
          <w:rFonts w:ascii="仿宋_GB2312" w:hAnsi="仿宋_GB2312" w:eastAsia="仿宋_GB2312"/>
          <w:b/>
          <w:sz w:val="24"/>
        </w:rPr>
        <w:t>实施情况及成效</w:t>
      </w:r>
      <w:r>
        <w:rPr>
          <w:rFonts w:hint="eastAsia" w:ascii="仿宋_GB2312" w:hAnsi="仿宋_GB2312" w:eastAsia="仿宋_GB2312"/>
          <w:b/>
          <w:sz w:val="24"/>
        </w:rPr>
        <w:t>：</w:t>
      </w:r>
    </w:p>
    <w:p>
      <w:pPr>
        <w:spacing w:line="360" w:lineRule="auto"/>
        <w:ind w:firstLine="480" w:firstLineChars="2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通过专项规划编制，在全县域范围内摸排确定低效用地共</w:t>
      </w:r>
      <w:r>
        <w:rPr>
          <w:rFonts w:ascii="仿宋_GB2312" w:hAnsi="仿宋_GB2312" w:eastAsia="仿宋_GB2312"/>
          <w:sz w:val="24"/>
        </w:rPr>
        <w:t>348个调查单元，涉及面积6155.39亩，</w:t>
      </w:r>
      <w:r>
        <w:rPr>
          <w:rFonts w:hint="eastAsia" w:ascii="仿宋_GB2312" w:hAnsi="仿宋_GB2312" w:eastAsia="仿宋_GB2312"/>
          <w:sz w:val="24"/>
        </w:rPr>
        <w:t>并结合低效用地实际情况，研究再开发模式，指导试点项目实施。在专项规划指导下，共形成3</w:t>
      </w:r>
      <w:r>
        <w:rPr>
          <w:rFonts w:ascii="仿宋_GB2312" w:hAnsi="仿宋_GB2312" w:eastAsia="仿宋_GB2312"/>
          <w:sz w:val="24"/>
        </w:rPr>
        <w:t>4</w:t>
      </w:r>
      <w:r>
        <w:rPr>
          <w:rFonts w:hint="eastAsia" w:ascii="仿宋_GB2312" w:hAnsi="仿宋_GB2312" w:eastAsia="仿宋_GB2312"/>
          <w:sz w:val="24"/>
        </w:rPr>
        <w:t>个试点项目，已</w:t>
      </w:r>
      <w:r>
        <w:rPr>
          <w:rFonts w:ascii="仿宋_GB2312" w:hAnsi="仿宋_GB2312" w:eastAsia="仿宋_GB2312"/>
          <w:sz w:val="24"/>
        </w:rPr>
        <w:t>盘活低效</w:t>
      </w:r>
      <w:r>
        <w:rPr>
          <w:rFonts w:hint="eastAsia" w:ascii="仿宋_GB2312" w:hAnsi="仿宋_GB2312" w:eastAsia="仿宋_GB2312"/>
          <w:sz w:val="24"/>
        </w:rPr>
        <w:t>用地</w:t>
      </w:r>
      <w:r>
        <w:rPr>
          <w:rFonts w:ascii="仿宋_GB2312" w:hAnsi="仿宋_GB2312" w:eastAsia="仿宋_GB2312"/>
          <w:sz w:val="24"/>
        </w:rPr>
        <w:t>2337.15亩，</w:t>
      </w:r>
      <w:r>
        <w:rPr>
          <w:rFonts w:hint="eastAsia" w:ascii="仿宋_GB2312" w:hAnsi="仿宋_GB2312" w:eastAsia="仿宋_GB2312"/>
          <w:sz w:val="24"/>
        </w:rPr>
        <w:t>累计完成投资</w:t>
      </w:r>
      <w:r>
        <w:rPr>
          <w:rFonts w:ascii="仿宋_GB2312" w:hAnsi="仿宋_GB2312" w:eastAsia="仿宋_GB2312"/>
          <w:sz w:val="24"/>
        </w:rPr>
        <w:t>74.48亿元，新增产业空间约66.88万平方米。</w:t>
      </w:r>
      <w:r>
        <w:rPr>
          <w:rFonts w:hint="eastAsia" w:ascii="仿宋_GB2312" w:hAnsi="仿宋_GB2312" w:eastAsia="仿宋_GB2312"/>
          <w:sz w:val="24"/>
        </w:rPr>
        <w:t>部分试点</w:t>
      </w:r>
      <w:r>
        <w:rPr>
          <w:rFonts w:ascii="仿宋_GB2312" w:hAnsi="仿宋_GB2312" w:eastAsia="仿宋_GB2312"/>
          <w:sz w:val="24"/>
        </w:rPr>
        <w:t>经验做法列入省低效用地再开发典型案例。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在专项规划指导下，出台多个支持政策，包括征迁安置房票政策、工业企业不动产权属分割转让政策、“立体生态住宅”试点政策以及低效产业用地自主提升政策等，多方位支持低效用地再开发。</w:t>
      </w:r>
    </w:p>
    <w:p>
      <w:pPr>
        <w:spacing w:line="360" w:lineRule="auto"/>
        <w:rPr>
          <w:rFonts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五、核心优势</w:t>
      </w:r>
    </w:p>
    <w:p>
      <w:pPr>
        <w:spacing w:line="360" w:lineRule="auto"/>
        <w:ind w:firstLine="480" w:firstLineChars="2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一、多维度调查，建立完善低效用地再开发数据库</w:t>
      </w:r>
      <w:r>
        <w:rPr>
          <w:rFonts w:ascii="仿宋_GB2312" w:hAnsi="仿宋_GB2312" w:eastAsia="仿宋_GB2312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针对全县城镇开发边界范围内建设用地，按照“工业、居住、商业、设施、村庄”五大类型进行全面摸排评估，按照相关规范要求进行低效用地认定，并联动多部门进行数据核实及现场调研走访，落实城镇低效用地认定成果，并基于Arc</w:t>
      </w:r>
      <w:r>
        <w:rPr>
          <w:rFonts w:ascii="仿宋_GB2312" w:hAnsi="仿宋_GB2312" w:eastAsia="仿宋_GB2312"/>
          <w:sz w:val="24"/>
        </w:rPr>
        <w:t>GIS</w:t>
      </w:r>
      <w:r>
        <w:rPr>
          <w:rFonts w:hint="eastAsia" w:ascii="仿宋_GB2312" w:hAnsi="仿宋_GB2312" w:eastAsia="仿宋_GB2312"/>
          <w:sz w:val="24"/>
        </w:rPr>
        <w:t>平台建立永春县城镇低效用地再开发数据库。</w:t>
      </w:r>
    </w:p>
    <w:p>
      <w:pPr>
        <w:spacing w:line="360" w:lineRule="auto"/>
        <w:ind w:firstLine="480" w:firstLineChars="2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二、多主体参与，谋划可落地低效用地再开发模式</w:t>
      </w:r>
      <w:r>
        <w:rPr>
          <w:rFonts w:ascii="仿宋_GB2312" w:hAnsi="仿宋_GB2312" w:eastAsia="仿宋_GB2312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基于城镇低效用地调查成果，从土地使用权处置、融资模式、政策优惠等多方面进行研究，构建政府、本地国企、央企及在地企业等多主体共同参与的城镇低效用地再开发模式，形成“自主提升、全面改造、性质变更、局部改造、综合整治”五大类再开发类型，并结合实际项目细化再开发模式，形成“政府引导，政策保障，自主提升”、“政府主导，国企建设，成片再开发”、“政府统筹，央企注资，投建营一体化再开发”等多种针对性再开发模式。</w:t>
      </w:r>
    </w:p>
    <w:p>
      <w:pPr>
        <w:spacing w:line="360" w:lineRule="auto"/>
        <w:ind w:firstLine="480" w:firstLineChars="2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三、多政策支持，构建“1</w:t>
      </w:r>
      <w:r>
        <w:rPr>
          <w:rFonts w:ascii="仿宋_GB2312" w:hAnsi="仿宋_GB2312" w:eastAsia="仿宋_GB2312"/>
          <w:sz w:val="24"/>
        </w:rPr>
        <w:t>+N</w:t>
      </w:r>
      <w:r>
        <w:rPr>
          <w:rFonts w:hint="eastAsia" w:ascii="仿宋_GB2312" w:hAnsi="仿宋_GB2312" w:eastAsia="仿宋_GB2312"/>
          <w:sz w:val="24"/>
        </w:rPr>
        <w:t>”综合性政策支撑体系。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围绕城镇低效用地再开发工作中的政策堵点，提出构建“</w:t>
      </w:r>
      <w:r>
        <w:rPr>
          <w:rFonts w:ascii="仿宋_GB2312" w:hAnsi="仿宋_GB2312" w:eastAsia="仿宋_GB2312"/>
          <w:sz w:val="24"/>
        </w:rPr>
        <w:t>1”个纲领性文件统领试点工作方向和工作内容，“N”个针对性政策，指导项目具体实施推进</w:t>
      </w:r>
      <w:r>
        <w:rPr>
          <w:rFonts w:hint="eastAsia" w:ascii="仿宋_GB2312" w:hAnsi="仿宋_GB2312" w:eastAsia="仿宋_GB2312"/>
          <w:sz w:val="24"/>
        </w:rPr>
        <w:t>的城镇低效用地再开发政策体系，并提出具体政策清单建议和内容方向。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D4"/>
    <w:rsid w:val="00112377"/>
    <w:rsid w:val="00115409"/>
    <w:rsid w:val="0021366C"/>
    <w:rsid w:val="0024479E"/>
    <w:rsid w:val="002A378E"/>
    <w:rsid w:val="002E6644"/>
    <w:rsid w:val="003C0215"/>
    <w:rsid w:val="003C12EE"/>
    <w:rsid w:val="005212D6"/>
    <w:rsid w:val="00555C3A"/>
    <w:rsid w:val="005671C4"/>
    <w:rsid w:val="0057400B"/>
    <w:rsid w:val="005A5E5D"/>
    <w:rsid w:val="005E162F"/>
    <w:rsid w:val="00643EA6"/>
    <w:rsid w:val="00665034"/>
    <w:rsid w:val="006A4569"/>
    <w:rsid w:val="0071044F"/>
    <w:rsid w:val="00777C22"/>
    <w:rsid w:val="008E460A"/>
    <w:rsid w:val="009101A6"/>
    <w:rsid w:val="009D1DFF"/>
    <w:rsid w:val="009D617A"/>
    <w:rsid w:val="009F5900"/>
    <w:rsid w:val="00A34F50"/>
    <w:rsid w:val="00B303D4"/>
    <w:rsid w:val="00B32839"/>
    <w:rsid w:val="00B73503"/>
    <w:rsid w:val="00BA3112"/>
    <w:rsid w:val="00BF7D96"/>
    <w:rsid w:val="00C54E46"/>
    <w:rsid w:val="00CF7F6C"/>
    <w:rsid w:val="00D314D4"/>
    <w:rsid w:val="00D46A72"/>
    <w:rsid w:val="00D72150"/>
    <w:rsid w:val="00D81111"/>
    <w:rsid w:val="00DA4439"/>
    <w:rsid w:val="00F16475"/>
    <w:rsid w:val="00F20FE1"/>
    <w:rsid w:val="00FC0F81"/>
    <w:rsid w:val="0B447216"/>
    <w:rsid w:val="7DC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798</Words>
  <Characters>836</Characters>
  <Lines>6</Lines>
  <Paragraphs>1</Paragraphs>
  <TotalTime>0</TotalTime>
  <ScaleCrop>false</ScaleCrop>
  <LinksUpToDate>false</LinksUpToDate>
  <CharactersWithSpaces>836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2025-10-10T09:51:00Z</dcterms:created>
  <dc:creator>徐铭晖</dc:creator>
  <cp:lastModifiedBy>一｜</cp:lastModifiedBy>
  <dcterms:modified xsi:type="dcterms:W3CDTF">2025-10-15T10:40:40Z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eyJoZGlkIjoiODQwMzQwYTRlZjMzODc5NzNjYWExMzc0MDk3ZjUyZjMiLCJ1c2VySWQiOiIyOTM1NTE3MTIifQ==</vt:lpwstr>
  </property>
  <property fmtid="{D5CDD505-2E9C-101B-9397-08002B2CF9AE}" pid="3" name="KSOProductBuildVer">
    <vt:lpwstr>2052-11.1.0.9021</vt:lpwstr>
  </property>
  <property fmtid="{D5CDD505-2E9C-101B-9397-08002B2CF9AE}" pid="4" name="ICV">
    <vt:lpwstr>2D6D3B8B618142B48FB8A422CC548823_12</vt:lpwstr>
  </property>
</Properties>
</file>