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hAnsi="仿宋_GB2312" w:eastAsia="仿宋_GB2312"/>
          <w:sz w:val="24"/>
        </w:rPr>
      </w:pPr>
      <w:r>
        <w:rPr>
          <w:rFonts w:hint="eastAsia" w:ascii="仿宋_GB2312" w:hAnsi="仿宋_GB2312" w:eastAsia="仿宋_GB2312"/>
          <w:b/>
          <w:sz w:val="24"/>
        </w:rPr>
        <w:t>一、</w:t>
      </w:r>
      <w:r>
        <w:rPr>
          <w:rFonts w:ascii="仿宋_GB2312" w:hAnsi="仿宋_GB2312" w:eastAsia="仿宋_GB2312"/>
          <w:b/>
          <w:sz w:val="24"/>
        </w:rPr>
        <w:t>项目名称</w:t>
      </w:r>
      <w:r>
        <w:rPr>
          <w:rFonts w:hint="eastAsia" w:ascii="仿宋_GB2312" w:hAnsi="仿宋_GB2312" w:eastAsia="仿宋_GB2312"/>
          <w:b/>
          <w:sz w:val="24"/>
        </w:rPr>
        <w:t>：</w:t>
      </w:r>
      <w:bookmarkStart w:id="0" w:name="_GoBack"/>
      <w:r>
        <w:rPr>
          <w:rFonts w:hint="eastAsia" w:ascii="仿宋_GB2312" w:hAnsi="仿宋_GB2312" w:eastAsia="仿宋_GB2312"/>
          <w:sz w:val="24"/>
        </w:rPr>
        <w:t>翔安区海岸带生态保护与空间发展战略规划</w:t>
      </w:r>
    </w:p>
    <w:bookmarkEnd w:id="0"/>
    <w:p>
      <w:pPr>
        <w:spacing w:line="360" w:lineRule="auto"/>
        <w:rPr>
          <w:rFonts w:hint="eastAsia" w:ascii="仿宋_GB2312" w:hAnsi="仿宋_GB2312" w:eastAsia="仿宋_GB2312"/>
          <w:sz w:val="24"/>
        </w:rPr>
      </w:pPr>
      <w:r>
        <w:rPr>
          <w:rFonts w:hint="eastAsia" w:ascii="仿宋_GB2312" w:hAnsi="仿宋_GB2312" w:eastAsia="仿宋_GB2312"/>
          <w:b/>
          <w:sz w:val="24"/>
        </w:rPr>
        <w:t>二、</w:t>
      </w:r>
      <w:r>
        <w:rPr>
          <w:rFonts w:ascii="仿宋_GB2312" w:hAnsi="仿宋_GB2312" w:eastAsia="仿宋_GB2312"/>
          <w:b/>
          <w:sz w:val="24"/>
        </w:rPr>
        <w:t>项目类型</w:t>
      </w:r>
      <w:r>
        <w:rPr>
          <w:rFonts w:hint="eastAsia" w:ascii="仿宋_GB2312" w:hAnsi="仿宋_GB2312" w:eastAsia="仿宋_GB2312"/>
          <w:b/>
          <w:sz w:val="24"/>
        </w:rPr>
        <w:t>：</w:t>
      </w:r>
      <w:r>
        <w:rPr>
          <w:rFonts w:hint="eastAsia" w:ascii="仿宋_GB2312" w:hAnsi="仿宋_GB2312" w:eastAsia="仿宋_GB2312"/>
          <w:sz w:val="24"/>
        </w:rPr>
        <w:t>专项规划</w:t>
      </w:r>
    </w:p>
    <w:p>
      <w:pPr>
        <w:spacing w:line="360" w:lineRule="auto"/>
        <w:rPr>
          <w:rFonts w:hint="default" w:ascii="仿宋_GB2312" w:hAnsi="仿宋_GB2312" w:eastAsia="仿宋_GB2312"/>
          <w:sz w:val="24"/>
          <w:lang w:val="en-US" w:eastAsia="zh-CN"/>
        </w:rPr>
      </w:pPr>
      <w:r>
        <w:rPr>
          <w:rFonts w:hint="eastAsia" w:ascii="仿宋_GB2312" w:hAnsi="仿宋_GB2312" w:eastAsia="仿宋_GB2312"/>
          <w:b/>
          <w:sz w:val="24"/>
        </w:rPr>
        <w:t>三、</w:t>
      </w:r>
      <w:r>
        <w:rPr>
          <w:rFonts w:ascii="仿宋_GB2312" w:hAnsi="仿宋_GB2312" w:eastAsia="仿宋_GB2312"/>
          <w:b/>
          <w:sz w:val="24"/>
        </w:rPr>
        <w:t>完成单位</w:t>
      </w:r>
      <w:r>
        <w:rPr>
          <w:rFonts w:hint="eastAsia" w:ascii="仿宋_GB2312" w:hAnsi="仿宋_GB2312" w:eastAsia="仿宋_GB2312"/>
          <w:b/>
          <w:sz w:val="24"/>
        </w:rPr>
        <w:t>：</w:t>
      </w:r>
      <w:r>
        <w:rPr>
          <w:rFonts w:ascii="仿宋_GB2312" w:hAnsi="仿宋_GB2312" w:eastAsia="仿宋_GB2312"/>
          <w:sz w:val="24"/>
        </w:rPr>
        <w:t>厦门大学规划设计研究院有限公司</w:t>
      </w:r>
      <w:r>
        <w:rPr>
          <w:rFonts w:hint="eastAsia" w:ascii="仿宋_GB2312" w:hAnsi="仿宋_GB2312" w:eastAsia="仿宋_GB2312"/>
          <w:sz w:val="24"/>
          <w:lang w:eastAsia="zh-CN"/>
        </w:rPr>
        <w:t>、</w:t>
      </w:r>
      <w:r>
        <w:rPr>
          <w:rFonts w:hint="eastAsia" w:ascii="仿宋_GB2312" w:hAnsi="仿宋_GB2312" w:eastAsia="仿宋_GB2312"/>
          <w:sz w:val="24"/>
          <w:lang w:val="en-US" w:eastAsia="zh-CN"/>
        </w:rPr>
        <w:t>厦门大学</w:t>
      </w:r>
    </w:p>
    <w:p>
      <w:pPr>
        <w:spacing w:line="360" w:lineRule="auto"/>
        <w:rPr>
          <w:rFonts w:hint="eastAsia" w:ascii="仿宋_GB2312" w:hAnsi="仿宋_GB2312" w:eastAsia="仿宋_GB2312"/>
          <w:b/>
          <w:sz w:val="24"/>
        </w:rPr>
      </w:pPr>
      <w:r>
        <w:rPr>
          <w:rFonts w:hint="eastAsia" w:ascii="仿宋_GB2312" w:hAnsi="仿宋_GB2312" w:eastAsia="仿宋_GB2312"/>
          <w:b/>
          <w:sz w:val="24"/>
        </w:rPr>
        <w:t>四、</w:t>
      </w:r>
      <w:r>
        <w:rPr>
          <w:rFonts w:ascii="仿宋_GB2312" w:hAnsi="仿宋_GB2312" w:eastAsia="仿宋_GB2312"/>
          <w:b/>
          <w:sz w:val="24"/>
        </w:rPr>
        <w:t>实施情况及成效</w:t>
      </w:r>
      <w:r>
        <w:rPr>
          <w:rFonts w:hint="eastAsia" w:ascii="仿宋_GB2312" w:hAnsi="仿宋_GB2312" w:eastAsia="仿宋_GB2312"/>
          <w:b/>
          <w:sz w:val="24"/>
        </w:rPr>
        <w:t>：</w:t>
      </w:r>
    </w:p>
    <w:p>
      <w:pPr>
        <w:spacing w:line="360" w:lineRule="auto"/>
        <w:ind w:firstLine="482" w:firstLineChars="200"/>
        <w:rPr>
          <w:rFonts w:hint="eastAsia" w:ascii="仿宋_GB2312" w:hAnsi="仿宋_GB2312" w:eastAsia="仿宋_GB2312"/>
          <w:b/>
          <w:bCs/>
          <w:sz w:val="24"/>
        </w:rPr>
      </w:pPr>
      <w:r>
        <w:rPr>
          <w:rFonts w:hint="eastAsia" w:ascii="仿宋_GB2312" w:hAnsi="仿宋_GB2312" w:eastAsia="仿宋_GB2312"/>
          <w:b/>
          <w:bCs/>
          <w:sz w:val="24"/>
        </w:rPr>
        <w:t>1、有效促进市级、区级总体规划在海岸带空间的规划调整。</w:t>
      </w:r>
      <w:r>
        <w:rPr>
          <w:rFonts w:hint="eastAsia" w:ascii="仿宋_GB2312" w:hAnsi="仿宋_GB2312" w:eastAsia="仿宋_GB2312"/>
          <w:sz w:val="24"/>
        </w:rPr>
        <w:t>成果已纳入政府部门工作报告和近期项目库中，有效修正了国土空间规划的海岸带主导功能布局，包括厦门市总体规划中翔安东坑湾、港汊等环湾主导功能的调整；翔安区一张蓝图规划中管控区线的调整、滨海建设退线及山海通廊的预留等。</w:t>
      </w:r>
    </w:p>
    <w:p>
      <w:pPr>
        <w:spacing w:line="360" w:lineRule="auto"/>
        <w:ind w:firstLine="482" w:firstLineChars="200"/>
        <w:rPr>
          <w:rFonts w:ascii="仿宋_GB2312" w:hAnsi="仿宋_GB2312" w:eastAsia="仿宋_GB2312"/>
          <w:sz w:val="24"/>
        </w:rPr>
      </w:pPr>
      <w:r>
        <w:rPr>
          <w:rFonts w:hint="eastAsia" w:ascii="仿宋_GB2312" w:hAnsi="仿宋_GB2312" w:eastAsia="仿宋_GB2312"/>
          <w:b/>
          <w:bCs/>
          <w:sz w:val="24"/>
        </w:rPr>
        <w:t>2、有力推动海岸带生态保护与开发建设项目落地。</w:t>
      </w:r>
      <w:r>
        <w:rPr>
          <w:rFonts w:hint="eastAsia" w:ascii="仿宋_GB2312" w:hAnsi="仿宋_GB2312" w:eastAsia="仿宋_GB2312"/>
          <w:sz w:val="24"/>
        </w:rPr>
        <w:t>根据本项目行动计划及项目策划，已陆续开展下潭尾红树林湿地公园、海岸带环境综合治理、滨海浪漫岸线等重点项目。</w:t>
      </w:r>
    </w:p>
    <w:p>
      <w:pPr>
        <w:spacing w:line="360" w:lineRule="auto"/>
        <w:ind w:firstLine="482" w:firstLineChars="200"/>
        <w:rPr>
          <w:rFonts w:hint="eastAsia" w:ascii="仿宋_GB2312" w:hAnsi="仿宋_GB2312" w:eastAsia="仿宋_GB2312"/>
          <w:b/>
          <w:bCs/>
          <w:sz w:val="24"/>
        </w:rPr>
      </w:pPr>
      <w:r>
        <w:rPr>
          <w:rFonts w:hint="eastAsia" w:ascii="仿宋_GB2312" w:hAnsi="仿宋_GB2312" w:eastAsia="仿宋_GB2312"/>
          <w:b/>
          <w:bCs/>
          <w:sz w:val="24"/>
        </w:rPr>
        <w:t>3、大力促进蓝色经济培育、陆海生态效益转化。</w:t>
      </w:r>
      <w:r>
        <w:rPr>
          <w:rFonts w:hint="eastAsia" w:ascii="仿宋_GB2312" w:hAnsi="仿宋_GB2312" w:eastAsia="仿宋_GB2312"/>
          <w:sz w:val="24"/>
        </w:rPr>
        <w:t>项目有效引导了翔安海岸带产业转型升级，推动省级海洋高新区落地建设，培育壮大海洋生物科技、海洋信息、智慧海洋等新兴产业。</w:t>
      </w:r>
    </w:p>
    <w:p>
      <w:pPr>
        <w:spacing w:line="360" w:lineRule="auto"/>
        <w:ind w:firstLine="482" w:firstLineChars="200"/>
        <w:rPr>
          <w:rFonts w:hint="eastAsia" w:ascii="仿宋_GB2312" w:hAnsi="仿宋_GB2312" w:eastAsia="仿宋_GB2312"/>
          <w:b/>
          <w:bCs/>
          <w:sz w:val="24"/>
        </w:rPr>
      </w:pPr>
      <w:r>
        <w:rPr>
          <w:rFonts w:hint="eastAsia" w:ascii="仿宋_GB2312" w:hAnsi="仿宋_GB2312" w:eastAsia="仿宋_GB2312"/>
          <w:b/>
          <w:bCs/>
          <w:sz w:val="24"/>
        </w:rPr>
        <w:t>4、区县级海岸带陆海统筹规划经验的广泛推广。</w:t>
      </w:r>
      <w:r>
        <w:rPr>
          <w:rFonts w:hint="eastAsia" w:ascii="仿宋_GB2312" w:hAnsi="仿宋_GB2312" w:eastAsia="仿宋_GB2312"/>
          <w:sz w:val="24"/>
        </w:rPr>
        <w:t>项目主要技术方法在宁德、福州、深圳等其他城市进行了实践应用，同时与美丽海湾建设、海洋生态环境保护等专项工作的紧密结合，陆海协同理念已拓展应用于九龙江—厦门湾区域协同治理工作中。</w:t>
      </w:r>
    </w:p>
    <w:p>
      <w:pPr>
        <w:spacing w:line="360" w:lineRule="auto"/>
        <w:rPr>
          <w:rFonts w:hint="eastAsia" w:ascii="仿宋_GB2312" w:hAnsi="仿宋_GB2312" w:eastAsia="仿宋_GB2312"/>
          <w:b/>
          <w:sz w:val="24"/>
        </w:rPr>
      </w:pPr>
      <w:r>
        <w:rPr>
          <w:rFonts w:hint="eastAsia" w:ascii="仿宋_GB2312" w:hAnsi="仿宋_GB2312" w:eastAsia="仿宋_GB2312"/>
          <w:b/>
          <w:sz w:val="24"/>
        </w:rPr>
        <w:t>五、核心优势</w:t>
      </w:r>
    </w:p>
    <w:p>
      <w:pPr>
        <w:spacing w:line="360" w:lineRule="auto"/>
        <w:ind w:firstLine="482" w:firstLineChars="200"/>
        <w:rPr>
          <w:rFonts w:hint="eastAsia" w:ascii="仿宋_GB2312" w:hAnsi="仿宋_GB2312" w:eastAsia="仿宋_GB2312"/>
          <w:sz w:val="24"/>
        </w:rPr>
      </w:pPr>
      <w:r>
        <w:rPr>
          <w:rFonts w:hint="eastAsia" w:ascii="仿宋_GB2312" w:hAnsi="仿宋_GB2312" w:eastAsia="仿宋_GB2312"/>
          <w:b/>
          <w:bCs/>
          <w:sz w:val="24"/>
        </w:rPr>
        <w:t>1、规划路径创新，建立区县级海岸带陆海统筹规划技术方法。</w:t>
      </w:r>
      <w:r>
        <w:rPr>
          <w:rFonts w:hint="eastAsia" w:ascii="仿宋_GB2312" w:hAnsi="仿宋_GB2312" w:eastAsia="仿宋_GB2312"/>
          <w:sz w:val="24"/>
        </w:rPr>
        <w:t>在市辖区层面对海岸带生态保护与空间发展进行了理论方法研究与规划管控实践探索。提出“摸家底——划底线——严管控——定格局——促落实”的技术路径，为城市区县级海岸带规划提供了具有普遍借鉴意义的技术路径。</w:t>
      </w:r>
    </w:p>
    <w:p>
      <w:pPr>
        <w:spacing w:line="360" w:lineRule="auto"/>
        <w:ind w:firstLine="482" w:firstLineChars="200"/>
        <w:rPr>
          <w:rFonts w:hint="eastAsia" w:ascii="仿宋_GB2312" w:hAnsi="仿宋_GB2312" w:eastAsia="仿宋_GB2312"/>
          <w:sz w:val="24"/>
        </w:rPr>
      </w:pPr>
      <w:r>
        <w:rPr>
          <w:rFonts w:hint="eastAsia" w:ascii="仿宋_GB2312" w:hAnsi="仿宋_GB2312" w:eastAsia="仿宋_GB2312"/>
          <w:b/>
          <w:bCs/>
          <w:sz w:val="24"/>
        </w:rPr>
        <w:t>2、测评方法创新，制定“陆域-陆海交界面-海域”三个层次的陆海生态敏感度测评体系。</w:t>
      </w:r>
      <w:r>
        <w:rPr>
          <w:rFonts w:hint="eastAsia" w:ascii="仿宋_GB2312" w:hAnsi="仿宋_GB2312" w:eastAsia="仿宋_GB2312"/>
          <w:sz w:val="24"/>
        </w:rPr>
        <w:t>系统识别陆海生态系统敏感因子，通过网络层次分析、空间叠加评价的方法，创新构建陆海生态敏感度测评体系及空间发展潜力评价模型，科学辨析陆海空间要素关系逻辑，从而实现精明管控与空间优化。</w:t>
      </w:r>
    </w:p>
    <w:p>
      <w:pPr>
        <w:spacing w:line="360" w:lineRule="auto"/>
        <w:ind w:firstLine="482" w:firstLineChars="200"/>
        <w:rPr>
          <w:rFonts w:hint="eastAsia" w:ascii="仿宋_GB2312" w:hAnsi="仿宋_GB2312" w:eastAsia="仿宋_GB2312"/>
          <w:sz w:val="24"/>
        </w:rPr>
      </w:pPr>
      <w:r>
        <w:rPr>
          <w:rFonts w:hint="eastAsia" w:ascii="仿宋_GB2312" w:hAnsi="仿宋_GB2312" w:eastAsia="仿宋_GB2312"/>
          <w:b/>
          <w:bCs/>
          <w:sz w:val="24"/>
        </w:rPr>
        <w:t>3、管控体系创新，因地制宜，陆海耦合，制定海岸带空间科学管控体系。</w:t>
      </w:r>
      <w:r>
        <w:rPr>
          <w:rFonts w:hint="eastAsia" w:ascii="仿宋_GB2312" w:hAnsi="仿宋_GB2312" w:eastAsia="仿宋_GB2312"/>
          <w:sz w:val="24"/>
        </w:rPr>
        <w:t>针对不同岸段的陆海控制要素，制定刚性和弹性结合、因地制宜的管控标准，形成“以海定陆，以陆定海，陆海协同”差异化的管控路径。</w:t>
      </w:r>
    </w:p>
    <w:p>
      <w:pPr>
        <w:spacing w:line="360" w:lineRule="auto"/>
        <w:ind w:firstLine="482" w:firstLineChars="200"/>
        <w:rPr>
          <w:rFonts w:hint="eastAsia" w:ascii="仿宋_GB2312" w:hAnsi="仿宋_GB2312" w:eastAsia="仿宋_GB2312"/>
          <w:sz w:val="24"/>
        </w:rPr>
      </w:pPr>
      <w:r>
        <w:rPr>
          <w:rFonts w:hint="eastAsia" w:ascii="仿宋_GB2312" w:hAnsi="仿宋_GB2312" w:eastAsia="仿宋_GB2312"/>
          <w:b/>
          <w:bCs/>
          <w:sz w:val="24"/>
        </w:rPr>
        <w:t>4、规划传导创新，通过定制岸段单元图则有效促进规划落地。</w:t>
      </w:r>
      <w:r>
        <w:rPr>
          <w:rFonts w:hint="eastAsia" w:ascii="仿宋_GB2312" w:hAnsi="仿宋_GB2312" w:eastAsia="仿宋_GB2312"/>
          <w:sz w:val="24"/>
        </w:rPr>
        <w:t>通过海岸带单元图则的形式，落实陆海发展管控与指引细则的各项指标要求，充分支撑陆海统筹的战略规划在总体规划和详细规划之间的有效衔接与传导。</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D4"/>
    <w:rsid w:val="000F1CF1"/>
    <w:rsid w:val="00112377"/>
    <w:rsid w:val="00115409"/>
    <w:rsid w:val="002A378E"/>
    <w:rsid w:val="003B3D05"/>
    <w:rsid w:val="003C0215"/>
    <w:rsid w:val="003C12EE"/>
    <w:rsid w:val="005212D6"/>
    <w:rsid w:val="005E162F"/>
    <w:rsid w:val="0071044F"/>
    <w:rsid w:val="00777C22"/>
    <w:rsid w:val="008E460A"/>
    <w:rsid w:val="009101A6"/>
    <w:rsid w:val="009D1DFF"/>
    <w:rsid w:val="009D617A"/>
    <w:rsid w:val="009F5900"/>
    <w:rsid w:val="00A34F50"/>
    <w:rsid w:val="00AA4343"/>
    <w:rsid w:val="00B303D4"/>
    <w:rsid w:val="00B73503"/>
    <w:rsid w:val="00BF7D96"/>
    <w:rsid w:val="00C54E46"/>
    <w:rsid w:val="00CF7F6C"/>
    <w:rsid w:val="00D314D4"/>
    <w:rsid w:val="00D46A72"/>
    <w:rsid w:val="00D72150"/>
    <w:rsid w:val="00DA4439"/>
    <w:rsid w:val="00F16475"/>
    <w:rsid w:val="00FC0F81"/>
    <w:rsid w:val="03CE269D"/>
    <w:rsid w:val="43F86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925</Words>
  <Characters>925</Characters>
  <Lines>6</Lines>
  <Paragraphs>1</Paragraphs>
  <TotalTime>0</TotalTime>
  <ScaleCrop>false</ScaleCrop>
  <LinksUpToDate>false</LinksUpToDate>
  <CharactersWithSpaces>925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2025-10-10T09:33:00Z</dcterms:created>
  <dc:creator>徐铭晖</dc:creator>
  <cp:lastModifiedBy>一｜</cp:lastModifiedBy>
  <dcterms:modified xsi:type="dcterms:W3CDTF">2025-10-15T10:39:46Z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eyJoZGlkIjoiODQwMzQwYTRlZjMzODc5NzNjYWExMzc0MDk3ZjUyZjMiLCJ1c2VySWQiOiIyOTM1NTE3MTIifQ==</vt:lpwstr>
  </property>
  <property fmtid="{D5CDD505-2E9C-101B-9397-08002B2CF9AE}" pid="3" name="KSOProductBuildVer">
    <vt:lpwstr>2052-11.1.0.9021</vt:lpwstr>
  </property>
  <property fmtid="{D5CDD505-2E9C-101B-9397-08002B2CF9AE}" pid="4" name="ICV">
    <vt:lpwstr>CE03A22FC2E744E7BF621662EE75EADD_12</vt:lpwstr>
  </property>
</Properties>
</file>