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FangSong_GB2312" w:hAnsi="FangSong_GB2312" w:eastAsia="FangSong_GB2312"/>
          <w:sz w:val="24"/>
        </w:rPr>
      </w:pPr>
      <w:r>
        <w:rPr>
          <w:rFonts w:hint="eastAsia" w:ascii="FangSong_GB2312" w:hAnsi="FangSong_GB2312" w:eastAsia="FangSong_GB2312"/>
          <w:b/>
          <w:sz w:val="24"/>
        </w:rPr>
        <w:t>一、</w:t>
      </w:r>
      <w:r>
        <w:rPr>
          <w:rFonts w:ascii="FangSong_GB2312" w:hAnsi="FangSong_GB2312" w:eastAsia="FangSong_GB2312"/>
          <w:b/>
          <w:sz w:val="24"/>
        </w:rPr>
        <w:t>项目名称</w:t>
      </w:r>
      <w:r>
        <w:rPr>
          <w:rFonts w:hint="eastAsia" w:ascii="FangSong_GB2312" w:hAnsi="FangSong_GB2312" w:eastAsia="FangSong_GB2312"/>
          <w:b/>
          <w:sz w:val="24"/>
        </w:rPr>
        <w:t>：</w:t>
      </w:r>
      <w:bookmarkStart w:id="0" w:name="_GoBack"/>
      <w:r>
        <w:rPr>
          <w:rFonts w:hint="default" w:ascii="FangSong_GB2312" w:hAnsi="FangSong_GB2312" w:eastAsia="FangSong_GB2312"/>
          <w:sz w:val="24"/>
        </w:rPr>
        <w:t>三平省级风景名胜区总体规划（2015-2030年）（修改）</w:t>
      </w:r>
      <w:bookmarkEnd w:id="0"/>
    </w:p>
    <w:p>
      <w:pPr>
        <w:spacing w:line="360" w:lineRule="auto"/>
        <w:rPr>
          <w:rFonts w:hint="eastAsia" w:ascii="FangSong_GB2312" w:hAnsi="FangSong_GB2312" w:eastAsia="FangSong_GB2312"/>
          <w:sz w:val="24"/>
          <w:lang w:eastAsia="zh-CN"/>
        </w:rPr>
      </w:pPr>
      <w:r>
        <w:rPr>
          <w:rFonts w:hint="eastAsia" w:ascii="FangSong_GB2312" w:hAnsi="FangSong_GB2312" w:eastAsia="FangSong_GB2312"/>
          <w:b/>
          <w:sz w:val="24"/>
        </w:rPr>
        <w:t>二、</w:t>
      </w:r>
      <w:r>
        <w:rPr>
          <w:rFonts w:ascii="FangSong_GB2312" w:hAnsi="FangSong_GB2312" w:eastAsia="FangSong_GB2312"/>
          <w:b/>
          <w:sz w:val="24"/>
        </w:rPr>
        <w:t>项目类型</w:t>
      </w:r>
      <w:r>
        <w:rPr>
          <w:rFonts w:hint="eastAsia" w:ascii="FangSong_GB2312" w:hAnsi="FangSong_GB2312" w:eastAsia="FangSong_GB2312"/>
          <w:b/>
          <w:sz w:val="24"/>
        </w:rPr>
        <w:t>：</w:t>
      </w:r>
      <w:r>
        <w:rPr>
          <w:rFonts w:hint="eastAsia" w:ascii="FangSong_GB2312" w:hAnsi="FangSong_GB2312" w:eastAsia="FangSong_GB2312"/>
          <w:sz w:val="24"/>
          <w:lang w:val="en-US" w:eastAsia="zh-CN"/>
        </w:rPr>
        <w:t>专项规划</w:t>
      </w:r>
    </w:p>
    <w:p>
      <w:pPr>
        <w:spacing w:line="360" w:lineRule="auto"/>
        <w:rPr>
          <w:rFonts w:hint="eastAsia" w:ascii="FangSong_GB2312" w:hAnsi="FangSong_GB2312" w:eastAsia="FangSong_GB2312"/>
          <w:sz w:val="24"/>
        </w:rPr>
      </w:pPr>
      <w:r>
        <w:rPr>
          <w:rFonts w:hint="eastAsia" w:ascii="FangSong_GB2312" w:hAnsi="FangSong_GB2312" w:eastAsia="FangSong_GB2312"/>
          <w:b/>
          <w:sz w:val="24"/>
        </w:rPr>
        <w:t>三、</w:t>
      </w:r>
      <w:r>
        <w:rPr>
          <w:rFonts w:ascii="FangSong_GB2312" w:hAnsi="FangSong_GB2312" w:eastAsia="FangSong_GB2312"/>
          <w:b/>
          <w:sz w:val="24"/>
        </w:rPr>
        <w:t>完成单位</w:t>
      </w:r>
      <w:r>
        <w:rPr>
          <w:rFonts w:hint="eastAsia" w:ascii="FangSong_GB2312" w:hAnsi="FangSong_GB2312" w:eastAsia="FangSong_GB2312"/>
          <w:b/>
          <w:sz w:val="24"/>
        </w:rPr>
        <w:t>：</w:t>
      </w:r>
      <w:r>
        <w:rPr>
          <w:rFonts w:ascii="FangSong_GB2312" w:hAnsi="FangSong_GB2312" w:eastAsia="FangSong_GB2312"/>
          <w:sz w:val="24"/>
        </w:rPr>
        <w:t>厦门大学规划设计研究院有限公司</w:t>
      </w:r>
      <w:r>
        <w:rPr>
          <w:rFonts w:hint="eastAsia" w:ascii="仿宋_GB2312" w:hAnsi="仿宋_GB2312" w:eastAsia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lang w:val="en-US" w:eastAsia="zh-CN"/>
        </w:rPr>
        <w:t>厦门大学</w:t>
      </w:r>
    </w:p>
    <w:p>
      <w:pPr>
        <w:spacing w:line="360" w:lineRule="auto"/>
        <w:rPr>
          <w:rFonts w:hint="eastAsia" w:ascii="FangSong_GB2312" w:hAnsi="FangSong_GB2312" w:eastAsia="FangSong_GB2312"/>
          <w:b/>
          <w:sz w:val="24"/>
        </w:rPr>
      </w:pPr>
      <w:r>
        <w:rPr>
          <w:rFonts w:hint="eastAsia" w:ascii="FangSong_GB2312" w:hAnsi="FangSong_GB2312" w:eastAsia="FangSong_GB2312"/>
          <w:b/>
          <w:sz w:val="24"/>
        </w:rPr>
        <w:t>四、</w:t>
      </w:r>
      <w:r>
        <w:rPr>
          <w:rFonts w:ascii="FangSong_GB2312" w:hAnsi="FangSong_GB2312" w:eastAsia="FangSong_GB2312"/>
          <w:b/>
          <w:sz w:val="24"/>
        </w:rPr>
        <w:t>实施情况及成效</w:t>
      </w:r>
      <w:r>
        <w:rPr>
          <w:rFonts w:hint="eastAsia" w:ascii="FangSong_GB2312" w:hAnsi="FangSong_GB2312" w:eastAsia="FangSong_GB2312"/>
          <w:b/>
          <w:sz w:val="24"/>
        </w:rPr>
        <w:t>：</w:t>
      </w:r>
    </w:p>
    <w:p>
      <w:pPr>
        <w:spacing w:line="360" w:lineRule="auto"/>
        <w:ind w:firstLine="480" w:firstLineChars="200"/>
        <w:rPr>
          <w:rFonts w:ascii="FangSong_GB2312" w:hAnsi="FangSong_GB2312" w:eastAsia="FangSong_GB2312"/>
          <w:sz w:val="24"/>
        </w:rPr>
      </w:pPr>
      <w:r>
        <w:rPr>
          <w:rFonts w:ascii="FangSong_GB2312" w:hAnsi="FangSong_GB2312" w:eastAsia="FangSong_GB2312"/>
          <w:sz w:val="24"/>
        </w:rPr>
        <w:t>1</w:t>
      </w:r>
      <w:r>
        <w:rPr>
          <w:rFonts w:hint="eastAsia" w:ascii="FangSong_GB2312" w:hAnsi="FangSong_GB2312" w:eastAsia="FangSong_GB2312"/>
          <w:sz w:val="24"/>
        </w:rPr>
        <w:t>、</w:t>
      </w:r>
      <w:r>
        <w:rPr>
          <w:rFonts w:hint="eastAsia" w:ascii="FangSong_GB2312" w:hAnsi="FangSong_GB2312" w:eastAsia="宋体"/>
          <w:sz w:val="24"/>
          <w:lang w:eastAsia="zh-CN"/>
        </w:rPr>
        <w:t>项目成果在自然保护地整合重组过程中，通过过渡性规划机制，搭建了与自然保护地体系衔接的桥梁，成功实现了刚性管控与柔性适配的结合，并为后续详细规划与建设实施提供了清晰指引，具有较强的示范意义和实践价值</w:t>
      </w:r>
      <w:r>
        <w:rPr>
          <w:rFonts w:ascii="FangSong_GB2312" w:hAnsi="FangSong_GB2312" w:eastAsia="FangSong_GB2312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FangSong_GB2312" w:hAnsi="FangSong_GB2312" w:eastAsia="宋体"/>
          <w:sz w:val="24"/>
          <w:lang w:val="en-US" w:eastAsia="zh-CN"/>
        </w:rPr>
      </w:pPr>
      <w:r>
        <w:rPr>
          <w:rFonts w:hint="eastAsia" w:ascii="FangSong_GB2312" w:hAnsi="FangSong_GB2312" w:eastAsia="FangSong_GB2312"/>
          <w:sz w:val="24"/>
        </w:rPr>
        <w:t>2、</w:t>
      </w:r>
      <w:r>
        <w:rPr>
          <w:rFonts w:hint="eastAsia" w:ascii="FangSong_GB2312" w:hAnsi="FangSong_GB2312" w:eastAsia="宋体"/>
          <w:sz w:val="24"/>
          <w:lang w:val="en-US" w:eastAsia="zh-CN"/>
        </w:rPr>
        <w:t>在国土空间规划体系下，对原有的风景区总规进行了数字技术上的更新，同时承上启下，多维衔接，力求做到“可用、实用、好用”，对风景区的管理和建设起到了重要的指导作用。</w:t>
      </w:r>
    </w:p>
    <w:p>
      <w:pPr>
        <w:spacing w:line="360" w:lineRule="auto"/>
        <w:ind w:firstLine="480" w:firstLineChars="200"/>
        <w:rPr>
          <w:rFonts w:hint="default" w:ascii="FangSong_GB2312" w:hAnsi="FangSong_GB2312" w:eastAsia="宋体"/>
          <w:sz w:val="24"/>
          <w:lang w:val="en-US" w:eastAsia="zh-CN"/>
        </w:rPr>
      </w:pPr>
      <w:r>
        <w:rPr>
          <w:rFonts w:hint="eastAsia" w:ascii="FangSong_GB2312" w:hAnsi="FangSong_GB2312" w:eastAsia="宋体"/>
          <w:sz w:val="24"/>
          <w:lang w:val="en-US" w:eastAsia="zh-CN"/>
        </w:rPr>
        <w:t>3、</w:t>
      </w:r>
      <w:r>
        <w:rPr>
          <w:rFonts w:ascii="FangSong_GB2312" w:hAnsi="FangSong_GB2312" w:eastAsia="FangSong_GB2312"/>
          <w:sz w:val="24"/>
        </w:rPr>
        <w:t>有效指引了</w:t>
      </w:r>
      <w:r>
        <w:rPr>
          <w:rFonts w:hint="eastAsia" w:ascii="FangSong_GB2312" w:hAnsi="FangSong_GB2312" w:eastAsia="宋体"/>
          <w:sz w:val="24"/>
          <w:lang w:val="en-US" w:eastAsia="zh-CN"/>
        </w:rPr>
        <w:t>X584改线工程上境至楼脚段道路工程、游客服务中心及停车场等重大项目的规划与落地实施。</w:t>
      </w:r>
    </w:p>
    <w:p>
      <w:pPr>
        <w:spacing w:line="360" w:lineRule="auto"/>
        <w:rPr>
          <w:rFonts w:hint="eastAsia" w:ascii="FangSong_GB2312" w:hAnsi="FangSong_GB2312" w:eastAsia="FangSong_GB2312"/>
          <w:b/>
          <w:sz w:val="24"/>
        </w:rPr>
      </w:pPr>
      <w:r>
        <w:rPr>
          <w:rFonts w:hint="eastAsia" w:ascii="FangSong_GB2312" w:hAnsi="FangSong_GB2312" w:eastAsia="FangSong_GB2312"/>
          <w:b/>
          <w:sz w:val="24"/>
        </w:rPr>
        <w:t>五、核心优势</w:t>
      </w:r>
    </w:p>
    <w:p>
      <w:pPr>
        <w:spacing w:line="360" w:lineRule="auto"/>
        <w:ind w:firstLine="480" w:firstLineChars="200"/>
        <w:rPr>
          <w:rFonts w:hint="eastAsia" w:ascii="FangSong_GB2312" w:hAnsi="FangSong_GB2312" w:eastAsia="宋体"/>
          <w:sz w:val="24"/>
          <w:lang w:val="en-US" w:eastAsia="zh-CN"/>
        </w:rPr>
      </w:pPr>
      <w:r>
        <w:rPr>
          <w:rFonts w:hint="eastAsia" w:ascii="FangSong_GB2312" w:hAnsi="FangSong_GB2312" w:eastAsia="宋体"/>
          <w:sz w:val="24"/>
          <w:lang w:val="en-US" w:eastAsia="zh-CN"/>
        </w:rPr>
        <w:t>1</w:t>
      </w:r>
      <w:r>
        <w:rPr>
          <w:rFonts w:hint="eastAsia" w:ascii="FangSong_GB2312" w:hAnsi="FangSong_GB2312" w:eastAsia="FangSong_GB2312"/>
          <w:sz w:val="24"/>
        </w:rPr>
        <w:t>、</w:t>
      </w:r>
      <w:r>
        <w:rPr>
          <w:rFonts w:hint="eastAsia" w:ascii="FangSong_GB2312" w:hAnsi="FangSong_GB2312" w:eastAsia="宋体"/>
          <w:sz w:val="24"/>
          <w:lang w:eastAsia="zh-CN"/>
        </w:rPr>
        <w:t>实现风景名胜区规划与国土空间规划的“多规合一”。以国土空间规划的基础分类为“底版”，融入“三区三线”、自然保护地整合等刚性约束条件，将风景名胜区的功能性分区作为“图层”叠加其上，实现“一个空间、一套数据、多规共用”。建立两套分类体系之间的清晰转换与衔接规则，确保管理边界清晰、管制要求统一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FangSong_GB2312" w:hAnsi="FangSong_GB2312" w:eastAsia="宋体"/>
          <w:sz w:val="24"/>
          <w:lang w:val="en-US" w:eastAsia="zh-CN"/>
        </w:rPr>
      </w:pPr>
      <w:r>
        <w:rPr>
          <w:rFonts w:hint="eastAsia" w:ascii="FangSong_GB2312" w:hAnsi="FangSong_GB2312" w:eastAsia="宋体"/>
          <w:sz w:val="24"/>
          <w:lang w:val="en-US" w:eastAsia="zh-CN"/>
        </w:rPr>
        <w:t>“分级分类保护与利用”的精细化空间管控体系创新。根据《风景名胜区总体规划标准》及现状特征，科学划定核心景区及风景游览区、旅游服务区等各类功能区范围，有效地将保护与利用在空间上分离开，既满足了游客体验和居民生活的必要需求，又最大限度地减少了对核心资源的干扰。</w:t>
      </w:r>
    </w:p>
    <w:p>
      <w:pPr>
        <w:spacing w:line="360" w:lineRule="auto"/>
        <w:ind w:firstLine="480" w:firstLineChars="200"/>
        <w:rPr>
          <w:rFonts w:hint="eastAsia" w:ascii="FangSong_GB2312" w:hAnsi="FangSong_GB2312" w:eastAsia="宋体"/>
          <w:sz w:val="24"/>
          <w:lang w:val="en-US" w:eastAsia="zh-CN"/>
        </w:rPr>
      </w:pPr>
      <w:r>
        <w:rPr>
          <w:rFonts w:hint="eastAsia" w:ascii="FangSong_GB2312" w:hAnsi="FangSong_GB2312" w:eastAsia="宋体"/>
          <w:sz w:val="24"/>
          <w:lang w:val="en-US" w:eastAsia="zh-CN"/>
        </w:rPr>
        <w:t>3、细化相关控制要求，促进规划传导与实施落地。调整景区边界、细化旅游服务、基础工程设施及项目库各项指标等要求，指导风景区详规的编制和风景区建设项目的实施。</w:t>
      </w:r>
    </w:p>
    <w:p>
      <w:pPr>
        <w:spacing w:line="360" w:lineRule="auto"/>
        <w:ind w:firstLine="480" w:firstLineChars="200"/>
        <w:rPr>
          <w:rFonts w:hint="eastAsia" w:ascii="FangSong_GB2312" w:hAnsi="FangSong_GB2312" w:eastAsia="FangSong_GB2312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85322"/>
    <w:multiLevelType w:val="singleLevel"/>
    <w:tmpl w:val="64A853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D4"/>
    <w:rsid w:val="00112377"/>
    <w:rsid w:val="00115409"/>
    <w:rsid w:val="002A378E"/>
    <w:rsid w:val="003C0215"/>
    <w:rsid w:val="003C12EE"/>
    <w:rsid w:val="005212D6"/>
    <w:rsid w:val="005E162F"/>
    <w:rsid w:val="0071044F"/>
    <w:rsid w:val="00777C22"/>
    <w:rsid w:val="008E460A"/>
    <w:rsid w:val="009101A6"/>
    <w:rsid w:val="009D1DFF"/>
    <w:rsid w:val="009D617A"/>
    <w:rsid w:val="009F5900"/>
    <w:rsid w:val="00A34F50"/>
    <w:rsid w:val="00B303D4"/>
    <w:rsid w:val="00B73503"/>
    <w:rsid w:val="00BF7D96"/>
    <w:rsid w:val="00C54E46"/>
    <w:rsid w:val="00CF7F6C"/>
    <w:rsid w:val="00D314D4"/>
    <w:rsid w:val="00D46A72"/>
    <w:rsid w:val="00D72150"/>
    <w:rsid w:val="00DA4439"/>
    <w:rsid w:val="00F16475"/>
    <w:rsid w:val="00FC0F81"/>
    <w:rsid w:val="0FA71DE5"/>
    <w:rsid w:val="30C80099"/>
    <w:rsid w:val="60006A8C"/>
    <w:rsid w:val="68B46EC4"/>
    <w:rsid w:val="794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670</Characters>
  <Lines>5</Lines>
  <Paragraphs>1</Paragraphs>
  <TotalTime>6</TotalTime>
  <ScaleCrop>false</ScaleCrop>
  <LinksUpToDate>false</LinksUpToDate>
  <CharactersWithSpaces>670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2025-09-30T07:08:00Z</dcterms:created>
  <dc:creator>徐铭晖</dc:creator>
  <cp:lastModifiedBy>一｜</cp:lastModifiedBy>
  <dcterms:modified xsi:type="dcterms:W3CDTF">2025-10-15T10:35:00Z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eyJoZGlkIjoiODQwMzQwYTRlZjMzODc5NzNjYWExMzc0MDk3ZjUyZjMiLCJ1c2VySWQiOiIyOTM1NTE3MTIifQ==</vt:lpwstr>
  </property>
  <property fmtid="{D5CDD505-2E9C-101B-9397-08002B2CF9AE}" pid="3" name="KSOProductBuildVer">
    <vt:lpwstr>2052-11.1.0.9021</vt:lpwstr>
  </property>
  <property fmtid="{D5CDD505-2E9C-101B-9397-08002B2CF9AE}" pid="4" name="ICV">
    <vt:lpwstr>C58790FCCF5942C3ACC8F2F46FFF61B8_13</vt:lpwstr>
  </property>
</Properties>
</file>