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ascii="仿宋_GB2312" w:hAnsi="仿宋_GB2312" w:eastAsia="仿宋_GB2312"/>
          <w:b/>
          <w:sz w:val="24"/>
        </w:rPr>
        <w:t>项目名称</w:t>
      </w:r>
      <w:r>
        <w:rPr>
          <w:rFonts w:hint="eastAsia" w:ascii="仿宋_GB2312" w:hAnsi="仿宋_GB2312" w:eastAsia="仿宋_GB2312"/>
          <w:b/>
          <w:sz w:val="24"/>
        </w:rPr>
        <w:t>：</w:t>
      </w:r>
      <w:bookmarkStart w:id="0" w:name="_GoBack"/>
      <w:r>
        <w:rPr>
          <w:rFonts w:hint="eastAsia" w:ascii="仿宋_GB2312" w:hAnsi="仿宋_GB2312" w:eastAsia="仿宋_GB2312"/>
          <w:sz w:val="24"/>
        </w:rPr>
        <w:t>翔安区全域土地综合整治专项规划</w:t>
      </w:r>
      <w:bookmarkEnd w:id="0"/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ascii="仿宋_GB2312" w:hAnsi="仿宋_GB2312" w:eastAsia="仿宋_GB2312"/>
          <w:b/>
          <w:sz w:val="24"/>
        </w:rPr>
        <w:t>项目类型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sz w:val="24"/>
        </w:rPr>
        <w:t>专项规划</w:t>
      </w:r>
    </w:p>
    <w:p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三、</w:t>
      </w:r>
      <w:r>
        <w:rPr>
          <w:rFonts w:ascii="仿宋_GB2312" w:hAnsi="仿宋_GB2312" w:eastAsia="仿宋_GB2312"/>
          <w:b/>
          <w:sz w:val="24"/>
        </w:rPr>
        <w:t>完成单位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ascii="仿宋_GB2312" w:hAnsi="仿宋_GB2312" w:eastAsia="仿宋_GB2312"/>
          <w:sz w:val="24"/>
        </w:rPr>
        <w:t>厦门大学规划设计研究院有限公司</w:t>
      </w:r>
      <w:r>
        <w:rPr>
          <w:rFonts w:hint="eastAsia" w:ascii="仿宋_GB2312" w:hAnsi="仿宋_GB2312" w:eastAsia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lang w:val="en-US" w:eastAsia="zh-CN"/>
        </w:rPr>
        <w:t>厦门大学</w:t>
      </w:r>
    </w:p>
    <w:p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四、</w:t>
      </w:r>
      <w:r>
        <w:rPr>
          <w:rFonts w:ascii="仿宋_GB2312" w:hAnsi="仿宋_GB2312" w:eastAsia="仿宋_GB2312"/>
          <w:b/>
          <w:sz w:val="24"/>
        </w:rPr>
        <w:t>实施情况及成效</w:t>
      </w:r>
      <w:r>
        <w:rPr>
          <w:rFonts w:hint="eastAsia" w:ascii="仿宋_GB2312" w:hAnsi="仿宋_GB2312" w:eastAsia="仿宋_GB2312"/>
          <w:b/>
          <w:sz w:val="24"/>
        </w:rPr>
        <w:t>：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1、整理项目先行落地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sz w:val="24"/>
        </w:rPr>
        <w:t>已实施土地整理项目覆盖内厝镇、新圩镇等重点区域，具体包括内厝镇莲前村乞头山片片土地整理、内厝镇莲前村许厝沟片土地整理、新圩镇后亭村农田水利工程及土地平整工程等，为后续全域整治实施方案奠定了基础。同时，全域土地综合整治通过优化土地资源配置、完善基础设施、改善生态环境等方式，为一二三产业融合发展创造了有利条件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2、生态基底持续巩固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流域与矿山生态改善：启动龙东溪、九溪等流域水质提升基础工作，推进小光山等废弃矿山边坡治理与植被恢复，缓解生态斑块碎片化、廊道连通性不足问题；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农田生态系统稳定：通过土地整理推动耕地连片化，减少农业面源污染，完善农田灌排体系，增强水土保持、生物多样性维持等生态服务功能；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人居环境优化：推进农村宅基地整理与空心村改造，减少闲置建设用地占用生态空间，提升乡村居住品质。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3、资源价值逐步释放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指标收益显著：新增耕地 15742 亩可减少外部购买指标支出 18.84 亿元，建设用地增减挂钩潜力后续可助力土地增值与集体经济发展；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农业效率提升：后亭村已建高标农田项目，通过土地平整、土壤改良提升耕地质量与机械化水平，为规模化经营、高附加值农业导入奠基；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sz w:val="24"/>
        </w:rPr>
        <w:t>低效用地盘活：工业用地低效盘活试点推动零散企业入园，有望缩小翔安区与厦门市建设用地地均产出差距。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4、乡村振兴加速推进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资源利用效率提高：通过 “小田并大田”“林耕置换” 解决耕地碎片化、建设用地低效问题，助力节约型社会建设；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乡村动能增强：重点项目（如锄山综合整治）导入特色产业带动就业，完善田间道路、公共服务等基建，改善农村社会环境；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sz w:val="24"/>
        </w:rPr>
        <w:t>示范效应凸显：作为厦门全域整治重点区域，其空间格局、机制创新可为海沧区、同安区等周边区域提供借鉴，形成市域示范。</w:t>
      </w:r>
    </w:p>
    <w:p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五、核心优势</w:t>
      </w:r>
    </w:p>
    <w:p>
      <w:pPr>
        <w:widowControl/>
        <w:spacing w:line="360" w:lineRule="auto"/>
        <w:ind w:right="84" w:rightChars="40"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1、机制创新：破解核心痛点。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“多田套合”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模式：参考泉州晋江经验，整合自然资源、农业农村等部门政策，统筹土地整治、农田水利等项目，构建多元资金池，实现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一地多能”，解决耕地碎片化与财政压力问题。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“三权分置</w:t>
      </w:r>
      <w:r>
        <w:rPr>
          <w:rFonts w:ascii="仿宋_GB2312" w:hAnsi="仿宋_GB2312" w:eastAsia="仿宋_GB2312"/>
          <w:sz w:val="24"/>
        </w:rPr>
        <w:t xml:space="preserve"> + </w:t>
      </w:r>
      <w:r>
        <w:rPr>
          <w:rFonts w:hint="eastAsia" w:ascii="仿宋_GB2312" w:hAnsi="仿宋_GB2312" w:eastAsia="仿宋_GB2312"/>
          <w:sz w:val="24"/>
        </w:rPr>
        <w:t>两入股三收益”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机制：参考浙江湖州经验，落实土地所有权、承包权、经营权分置，鼓励农民以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地票证”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入股，获得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租金</w:t>
      </w:r>
      <w:r>
        <w:rPr>
          <w:rFonts w:ascii="仿宋_GB2312" w:hAnsi="仿宋_GB2312" w:eastAsia="仿宋_GB2312"/>
          <w:sz w:val="24"/>
        </w:rPr>
        <w:t xml:space="preserve"> + </w:t>
      </w:r>
      <w:r>
        <w:rPr>
          <w:rFonts w:hint="eastAsia" w:ascii="仿宋_GB2312" w:hAnsi="仿宋_GB2312" w:eastAsia="仿宋_GB2312"/>
          <w:sz w:val="24"/>
        </w:rPr>
        <w:t>分红</w:t>
      </w:r>
      <w:r>
        <w:rPr>
          <w:rFonts w:ascii="仿宋_GB2312" w:hAnsi="仿宋_GB2312" w:eastAsia="仿宋_GB2312"/>
          <w:sz w:val="24"/>
        </w:rPr>
        <w:t xml:space="preserve"> + </w:t>
      </w:r>
      <w:r>
        <w:rPr>
          <w:rFonts w:hint="eastAsia" w:ascii="仿宋_GB2312" w:hAnsi="仿宋_GB2312" w:eastAsia="仿宋_GB2312"/>
          <w:sz w:val="24"/>
        </w:rPr>
        <w:t>工资”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三重收益，破解权属复杂与撂荒风险。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“三券”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制度：创新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地券（低效建设用地腾退复垦指标）、房券（低效物业拆除兑换产业保障房）、绿券（建设用地复绿奖励指标）”，灵活推动土地腾挪归并，优化资源配置。</w:t>
      </w:r>
    </w:p>
    <w:p>
      <w:pPr>
        <w:widowControl/>
        <w:spacing w:line="360" w:lineRule="auto"/>
        <w:ind w:right="84" w:rightChars="40"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2、空间创新：差异化整治与产业融合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分区差异化策略：三大实施单元定位清晰</w:t>
      </w:r>
      <w:r>
        <w:rPr>
          <w:rFonts w:ascii="仿宋_GB2312" w:hAnsi="仿宋_GB2312" w:eastAsia="仿宋_GB2312"/>
          <w:sz w:val="24"/>
        </w:rPr>
        <w:t xml:space="preserve"> —— </w:t>
      </w:r>
      <w:r>
        <w:rPr>
          <w:rFonts w:hint="eastAsia" w:ascii="仿宋_GB2312" w:hAnsi="仿宋_GB2312" w:eastAsia="仿宋_GB2312"/>
          <w:sz w:val="24"/>
        </w:rPr>
        <w:t>北部单元主打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生态农文旅”，香九单元聚焦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山水客厅</w:t>
      </w:r>
      <w:r>
        <w:rPr>
          <w:rFonts w:ascii="仿宋_GB2312" w:hAnsi="仿宋_GB2312" w:eastAsia="仿宋_GB2312"/>
          <w:sz w:val="24"/>
        </w:rPr>
        <w:t xml:space="preserve"> + </w:t>
      </w:r>
      <w:r>
        <w:rPr>
          <w:rFonts w:hint="eastAsia" w:ascii="仿宋_GB2312" w:hAnsi="仿宋_GB2312" w:eastAsia="仿宋_GB2312"/>
          <w:sz w:val="24"/>
        </w:rPr>
        <w:t>农旅融合”，西部单元打造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都市田园</w:t>
      </w:r>
      <w:r>
        <w:rPr>
          <w:rFonts w:ascii="仿宋_GB2312" w:hAnsi="仿宋_GB2312" w:eastAsia="仿宋_GB2312"/>
          <w:sz w:val="24"/>
        </w:rPr>
        <w:t xml:space="preserve"> + </w:t>
      </w:r>
      <w:r>
        <w:rPr>
          <w:rFonts w:hint="eastAsia" w:ascii="仿宋_GB2312" w:hAnsi="仿宋_GB2312" w:eastAsia="仿宋_GB2312"/>
          <w:sz w:val="24"/>
        </w:rPr>
        <w:t>滨海浪漫”，避免同质化整治。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“生态</w:t>
      </w:r>
      <w:r>
        <w:rPr>
          <w:rFonts w:ascii="仿宋_GB2312" w:hAnsi="仿宋_GB2312" w:eastAsia="仿宋_GB2312"/>
          <w:sz w:val="24"/>
        </w:rPr>
        <w:t xml:space="preserve"> + </w:t>
      </w:r>
      <w:r>
        <w:rPr>
          <w:rFonts w:hint="eastAsia" w:ascii="仿宋_GB2312" w:hAnsi="仿宋_GB2312" w:eastAsia="仿宋_GB2312"/>
          <w:sz w:val="24"/>
        </w:rPr>
        <w:t>产业”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深度融合：将生态修复与产业导入结合，如大帽山林相改造同步发展森林康养，九溪流域治理配套农文旅项目，实现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修复即发展”，提升生态价值转化率。</w:t>
      </w:r>
    </w:p>
    <w:p>
      <w:pPr>
        <w:widowControl/>
        <w:spacing w:line="360" w:lineRule="auto"/>
        <w:ind w:right="84" w:rightChars="40"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3、政策创新：强化保障与激励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用地支持政策：预留城乡建设用地增减挂钩指标用于产业发展，按单元类型明确服务设施用地比例（如生态升值单元≤</w:t>
      </w:r>
      <w:r>
        <w:rPr>
          <w:rFonts w:ascii="仿宋_GB2312" w:hAnsi="仿宋_GB2312" w:eastAsia="仿宋_GB2312"/>
          <w:sz w:val="24"/>
        </w:rPr>
        <w:t>10%</w:t>
      </w:r>
      <w:r>
        <w:rPr>
          <w:rFonts w:hint="eastAsia" w:ascii="仿宋_GB2312" w:hAnsi="仿宋_GB2312" w:eastAsia="仿宋_GB2312"/>
          <w:sz w:val="24"/>
        </w:rPr>
        <w:t>、城乡融合单元≤</w:t>
      </w:r>
      <w:r>
        <w:rPr>
          <w:rFonts w:ascii="仿宋_GB2312" w:hAnsi="仿宋_GB2312" w:eastAsia="仿宋_GB2312"/>
          <w:sz w:val="24"/>
        </w:rPr>
        <w:t>25%</w:t>
      </w:r>
      <w:r>
        <w:rPr>
          <w:rFonts w:hint="eastAsia" w:ascii="仿宋_GB2312" w:hAnsi="仿宋_GB2312" w:eastAsia="仿宋_GB2312"/>
          <w:sz w:val="24"/>
        </w:rPr>
        <w:t>），保障产业空间需求。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退出机制：明确项目退出条件（如</w:t>
      </w:r>
      <w:r>
        <w:rPr>
          <w:rFonts w:ascii="仿宋_GB2312" w:hAnsi="仿宋_GB2312" w:eastAsia="仿宋_GB2312"/>
          <w:sz w:val="24"/>
        </w:rPr>
        <w:t xml:space="preserve"> 1 </w:t>
      </w:r>
      <w:r>
        <w:rPr>
          <w:rFonts w:hint="eastAsia" w:ascii="仿宋_GB2312" w:hAnsi="仿宋_GB2312" w:eastAsia="仿宋_GB2312"/>
          <w:sz w:val="24"/>
        </w:rPr>
        <w:t>年内未启动、进度严重滞后、存在债务风险等）与程序（通报</w:t>
      </w:r>
      <w:r>
        <w:rPr>
          <w:rFonts w:ascii="仿宋_GB2312" w:hAnsi="仿宋_GB2312" w:eastAsia="仿宋_GB2312"/>
          <w:sz w:val="24"/>
        </w:rPr>
        <w:t xml:space="preserve"> - </w:t>
      </w:r>
      <w:r>
        <w:rPr>
          <w:rFonts w:hint="eastAsia" w:ascii="仿宋_GB2312" w:hAnsi="仿宋_GB2312" w:eastAsia="仿宋_GB2312"/>
          <w:sz w:val="24"/>
        </w:rPr>
        <w:t>整改</w:t>
      </w:r>
      <w:r>
        <w:rPr>
          <w:rFonts w:ascii="仿宋_GB2312" w:hAnsi="仿宋_GB2312" w:eastAsia="仿宋_GB2312"/>
          <w:sz w:val="24"/>
        </w:rPr>
        <w:t xml:space="preserve"> - </w:t>
      </w:r>
      <w:r>
        <w:rPr>
          <w:rFonts w:hint="eastAsia" w:ascii="仿宋_GB2312" w:hAnsi="仿宋_GB2312" w:eastAsia="仿宋_GB2312"/>
          <w:sz w:val="24"/>
        </w:rPr>
        <w:t>退出</w:t>
      </w:r>
      <w:r>
        <w:rPr>
          <w:rFonts w:ascii="仿宋_GB2312" w:hAnsi="仿宋_GB2312" w:eastAsia="仿宋_GB2312"/>
          <w:sz w:val="24"/>
        </w:rPr>
        <w:t xml:space="preserve"> - </w:t>
      </w:r>
      <w:r>
        <w:rPr>
          <w:rFonts w:hint="eastAsia" w:ascii="仿宋_GB2312" w:hAnsi="仿宋_GB2312" w:eastAsia="仿宋_GB2312"/>
          <w:sz w:val="24"/>
        </w:rPr>
        <w:t>清算），确保项目质量。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村集体土地市场化：以村集体为单位成立股份经济合作社，推动集体经营性建设用地入市，招引实力企业参与农业园区建设，壮大集体经济，助力乡村振兴。</w:t>
      </w:r>
    </w:p>
    <w:p>
      <w:pPr>
        <w:widowControl/>
        <w:spacing w:line="360" w:lineRule="auto"/>
        <w:ind w:right="84" w:rightChars="40"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4、技术创新：精准化与可视化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w:t xml:space="preserve">GIS </w:t>
      </w:r>
      <w:r>
        <w:rPr>
          <w:rFonts w:hint="eastAsia" w:ascii="仿宋_GB2312" w:hAnsi="仿宋_GB2312" w:eastAsia="仿宋_GB2312"/>
          <w:sz w:val="24"/>
        </w:rPr>
        <w:t>数据库支撑：建立涵盖整治单元、图斑、项目的</w:t>
      </w:r>
      <w:r>
        <w:rPr>
          <w:rFonts w:ascii="仿宋_GB2312" w:hAnsi="仿宋_GB2312" w:eastAsia="仿宋_GB2312"/>
          <w:sz w:val="24"/>
        </w:rPr>
        <w:t xml:space="preserve"> GIS </w:t>
      </w:r>
      <w:r>
        <w:rPr>
          <w:rFonts w:hint="eastAsia" w:ascii="仿宋_GB2312" w:hAnsi="仿宋_GB2312" w:eastAsia="仿宋_GB2312"/>
          <w:sz w:val="24"/>
        </w:rPr>
        <w:t>数据库，实现潜力图斑精准落位与动态管理，为规划实施提供数据支撑。</w:t>
      </w:r>
    </w:p>
    <w:p>
      <w:pPr>
        <w:widowControl/>
        <w:spacing w:line="360" w:lineRule="auto"/>
        <w:ind w:right="84" w:rightChars="4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全流程公众参与：通过媒体宣传、实地踏勘、村民走访、活动体验等形式，提升公众参与度，形成</w:t>
      </w:r>
      <w:r>
        <w:rPr>
          <w:rFonts w:ascii="仿宋_GB2312" w:hAnsi="仿宋_GB2312" w:eastAsia="仿宋_GB2312"/>
          <w:sz w:val="24"/>
        </w:rPr>
        <w:t xml:space="preserve"> “</w:t>
      </w:r>
      <w:r>
        <w:rPr>
          <w:rFonts w:hint="eastAsia" w:ascii="仿宋_GB2312" w:hAnsi="仿宋_GB2312" w:eastAsia="仿宋_GB2312"/>
          <w:sz w:val="24"/>
        </w:rPr>
        <w:t>共建共治共享”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>格局。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4"/>
    <w:rsid w:val="000F1CF1"/>
    <w:rsid w:val="00112377"/>
    <w:rsid w:val="00115409"/>
    <w:rsid w:val="001E0B7F"/>
    <w:rsid w:val="002A378E"/>
    <w:rsid w:val="002F4A12"/>
    <w:rsid w:val="003B3D05"/>
    <w:rsid w:val="003C0215"/>
    <w:rsid w:val="003C12EE"/>
    <w:rsid w:val="004B2F99"/>
    <w:rsid w:val="004F0140"/>
    <w:rsid w:val="005212D6"/>
    <w:rsid w:val="005E162F"/>
    <w:rsid w:val="0071044F"/>
    <w:rsid w:val="00777C22"/>
    <w:rsid w:val="008E460A"/>
    <w:rsid w:val="009101A6"/>
    <w:rsid w:val="009D1DFF"/>
    <w:rsid w:val="009D617A"/>
    <w:rsid w:val="009F5900"/>
    <w:rsid w:val="00A34F50"/>
    <w:rsid w:val="00AA4343"/>
    <w:rsid w:val="00B303D4"/>
    <w:rsid w:val="00B3571F"/>
    <w:rsid w:val="00B73503"/>
    <w:rsid w:val="00B8147F"/>
    <w:rsid w:val="00BF7D96"/>
    <w:rsid w:val="00C54E46"/>
    <w:rsid w:val="00C71DB0"/>
    <w:rsid w:val="00CF0F55"/>
    <w:rsid w:val="00CF7F6C"/>
    <w:rsid w:val="00D314D4"/>
    <w:rsid w:val="00D46A72"/>
    <w:rsid w:val="00D72150"/>
    <w:rsid w:val="00D966E1"/>
    <w:rsid w:val="00DA4439"/>
    <w:rsid w:val="00DC05B2"/>
    <w:rsid w:val="00EE6DD0"/>
    <w:rsid w:val="00F16475"/>
    <w:rsid w:val="00F651CF"/>
    <w:rsid w:val="00FC0F81"/>
    <w:rsid w:val="3304221C"/>
    <w:rsid w:val="61B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1543</Words>
  <Characters>1559</Characters>
  <Lines>11</Lines>
  <Paragraphs>3</Paragraphs>
  <TotalTime>0</TotalTime>
  <ScaleCrop>false</ScaleCrop>
  <LinksUpToDate>false</LinksUpToDate>
  <CharactersWithSpaces>1606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2025-10-11T01:29:00Z</dcterms:created>
  <dc:creator>徐铭晖</dc:creator>
  <cp:lastModifiedBy>一｜</cp:lastModifiedBy>
  <dcterms:modified xsi:type="dcterms:W3CDTF">2025-10-15T10:39:18Z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eyJoZGlkIjoiODQwMzQwYTRlZjMzODc5NzNjYWExMzc0MDk3ZjUyZjMiLCJ1c2VySWQiOiIyOTM1NTE3MTIifQ==</vt:lpwstr>
  </property>
  <property fmtid="{D5CDD505-2E9C-101B-9397-08002B2CF9AE}" pid="3" name="KSOProductBuildVer">
    <vt:lpwstr>2052-11.1.0.9021</vt:lpwstr>
  </property>
  <property fmtid="{D5CDD505-2E9C-101B-9397-08002B2CF9AE}" pid="4" name="ICV">
    <vt:lpwstr>33271FDEA348486CBB789E6A83E71369_12</vt:lpwstr>
  </property>
</Properties>
</file>