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9B9D4">
      <w:pPr>
        <w:spacing w:line="360" w:lineRule="auto"/>
        <w:rPr>
          <w:rFonts w:hint="eastAsia" w:ascii="仿宋_GB2312" w:hAnsi="仿宋_GB2312" w:eastAsia="仿宋_GB2312"/>
          <w:sz w:val="24"/>
        </w:rPr>
      </w:pPr>
      <w:r>
        <w:rPr>
          <w:rFonts w:hint="eastAsia" w:ascii="仿宋_GB2312" w:hAnsi="仿宋_GB2312" w:eastAsia="仿宋_GB2312"/>
          <w:b/>
          <w:sz w:val="24"/>
        </w:rPr>
        <w:t>一、</w:t>
      </w:r>
      <w:r>
        <w:rPr>
          <w:rFonts w:ascii="仿宋_GB2312" w:hAnsi="仿宋_GB2312" w:eastAsia="仿宋_GB2312"/>
          <w:b/>
          <w:sz w:val="24"/>
        </w:rPr>
        <w:t>项目名称</w:t>
      </w:r>
      <w:r>
        <w:rPr>
          <w:rFonts w:hint="eastAsia" w:ascii="仿宋_GB2312" w:hAnsi="仿宋_GB2312" w:eastAsia="仿宋_GB2312"/>
          <w:b/>
          <w:sz w:val="24"/>
        </w:rPr>
        <w:t>：</w:t>
      </w:r>
      <w:r>
        <w:rPr>
          <w:rFonts w:ascii="仿宋_GB2312" w:hAnsi="仿宋_GB2312" w:eastAsia="仿宋_GB2312"/>
          <w:sz w:val="24"/>
        </w:rPr>
        <w:t>福建省陆海统筹导向下空间管控与规划指引</w:t>
      </w:r>
    </w:p>
    <w:p w14:paraId="77AABEDF">
      <w:pPr>
        <w:spacing w:line="360" w:lineRule="auto"/>
        <w:rPr>
          <w:rFonts w:hint="eastAsia" w:ascii="仿宋_GB2312" w:hAnsi="仿宋_GB2312" w:eastAsia="仿宋_GB2312"/>
          <w:sz w:val="24"/>
        </w:rPr>
      </w:pPr>
      <w:r>
        <w:rPr>
          <w:rFonts w:hint="eastAsia" w:ascii="仿宋_GB2312" w:hAnsi="仿宋_GB2312" w:eastAsia="仿宋_GB2312"/>
          <w:b/>
          <w:sz w:val="24"/>
        </w:rPr>
        <w:t>二、</w:t>
      </w:r>
      <w:r>
        <w:rPr>
          <w:rFonts w:ascii="仿宋_GB2312" w:hAnsi="仿宋_GB2312" w:eastAsia="仿宋_GB2312"/>
          <w:b/>
          <w:sz w:val="24"/>
        </w:rPr>
        <w:t>项目类型</w:t>
      </w:r>
      <w:r>
        <w:rPr>
          <w:rFonts w:hint="eastAsia" w:ascii="仿宋_GB2312" w:hAnsi="仿宋_GB2312" w:eastAsia="仿宋_GB2312"/>
          <w:b/>
          <w:sz w:val="24"/>
        </w:rPr>
        <w:t>：</w:t>
      </w:r>
      <w:r>
        <w:rPr>
          <w:rFonts w:hint="eastAsia" w:ascii="仿宋_GB2312" w:hAnsi="仿宋_GB2312" w:eastAsia="仿宋_GB2312"/>
          <w:sz w:val="24"/>
        </w:rPr>
        <w:t>规划管理创新实践</w:t>
      </w:r>
    </w:p>
    <w:p w14:paraId="6C696E70">
      <w:pPr>
        <w:spacing w:line="360" w:lineRule="auto"/>
        <w:rPr>
          <w:rFonts w:hint="eastAsia" w:ascii="仿宋_GB2312" w:hAnsi="仿宋_GB2312" w:eastAsia="仿宋_GB2312"/>
          <w:sz w:val="24"/>
        </w:rPr>
      </w:pPr>
      <w:r>
        <w:rPr>
          <w:rFonts w:hint="eastAsia" w:ascii="仿宋_GB2312" w:hAnsi="仿宋_GB2312" w:eastAsia="仿宋_GB2312"/>
          <w:b/>
          <w:sz w:val="24"/>
        </w:rPr>
        <w:t>三、</w:t>
      </w:r>
      <w:r>
        <w:rPr>
          <w:rFonts w:ascii="仿宋_GB2312" w:hAnsi="仿宋_GB2312" w:eastAsia="仿宋_GB2312"/>
          <w:b/>
          <w:sz w:val="24"/>
        </w:rPr>
        <w:t>完成单位</w:t>
      </w:r>
      <w:r>
        <w:rPr>
          <w:rFonts w:hint="eastAsia" w:ascii="仿宋_GB2312" w:hAnsi="仿宋_GB2312" w:eastAsia="仿宋_GB2312"/>
          <w:b/>
          <w:sz w:val="24"/>
        </w:rPr>
        <w:t>：</w:t>
      </w:r>
      <w:r>
        <w:rPr>
          <w:rFonts w:ascii="仿宋_GB2312" w:hAnsi="仿宋_GB2312" w:eastAsia="仿宋_GB2312"/>
          <w:sz w:val="24"/>
        </w:rPr>
        <w:t>厦门大学</w:t>
      </w:r>
      <w:r>
        <w:rPr>
          <w:rFonts w:hint="eastAsia" w:ascii="仿宋_GB2312" w:hAnsi="仿宋_GB2312" w:eastAsia="仿宋_GB2312"/>
          <w:sz w:val="24"/>
        </w:rPr>
        <w:t>、</w:t>
      </w:r>
      <w:r>
        <w:rPr>
          <w:rFonts w:ascii="仿宋_GB2312" w:hAnsi="仿宋_GB2312" w:eastAsia="仿宋_GB2312"/>
          <w:sz w:val="24"/>
        </w:rPr>
        <w:t>厦门大学规划设计研究院有限公司</w:t>
      </w:r>
    </w:p>
    <w:p w14:paraId="23BEC197">
      <w:pPr>
        <w:spacing w:line="360" w:lineRule="auto"/>
        <w:rPr>
          <w:rFonts w:hint="eastAsia" w:ascii="仿宋_GB2312" w:hAnsi="仿宋_GB2312" w:eastAsia="仿宋_GB2312"/>
          <w:b/>
          <w:sz w:val="24"/>
        </w:rPr>
      </w:pPr>
      <w:r>
        <w:rPr>
          <w:rFonts w:hint="eastAsia" w:ascii="仿宋_GB2312" w:hAnsi="仿宋_GB2312" w:eastAsia="仿宋_GB2312"/>
          <w:b/>
          <w:sz w:val="24"/>
        </w:rPr>
        <w:t>四、</w:t>
      </w:r>
      <w:r>
        <w:rPr>
          <w:rFonts w:ascii="仿宋_GB2312" w:hAnsi="仿宋_GB2312" w:eastAsia="仿宋_GB2312"/>
          <w:b/>
          <w:sz w:val="24"/>
        </w:rPr>
        <w:t>实施情况及成效</w:t>
      </w:r>
      <w:r>
        <w:rPr>
          <w:rFonts w:hint="eastAsia" w:ascii="仿宋_GB2312" w:hAnsi="仿宋_GB2312" w:eastAsia="仿宋_GB2312"/>
          <w:b/>
          <w:sz w:val="24"/>
        </w:rPr>
        <w:t>：</w:t>
      </w:r>
    </w:p>
    <w:p w14:paraId="68157DEB">
      <w:pPr>
        <w:spacing w:line="360" w:lineRule="auto"/>
        <w:ind w:firstLine="480" w:firstLineChars="200"/>
        <w:rPr>
          <w:rFonts w:hint="eastAsia" w:ascii="仿宋_GB2312" w:hAnsi="仿宋_GB2312" w:eastAsia="仿宋_GB2312"/>
          <w:sz w:val="24"/>
        </w:rPr>
      </w:pPr>
      <w:r>
        <w:rPr>
          <w:rFonts w:ascii="仿宋_GB2312" w:hAnsi="仿宋_GB2312" w:eastAsia="仿宋_GB2312"/>
          <w:sz w:val="24"/>
        </w:rPr>
        <w:t>1</w:t>
      </w:r>
      <w:r>
        <w:rPr>
          <w:rFonts w:hint="eastAsia" w:ascii="仿宋_GB2312" w:hAnsi="仿宋_GB2312" w:eastAsia="仿宋_GB2312"/>
          <w:sz w:val="24"/>
        </w:rPr>
        <w:t>、</w:t>
      </w:r>
      <w:r>
        <w:rPr>
          <w:rFonts w:ascii="仿宋_GB2312" w:hAnsi="仿宋_GB2312" w:eastAsia="仿宋_GB2312"/>
          <w:sz w:val="24"/>
        </w:rPr>
        <w:t>项目成果已纳入《福建省国土空间规划（2021-2035年）》，为福建省海</w:t>
      </w:r>
      <w:bookmarkStart w:id="0" w:name="_GoBack"/>
      <w:bookmarkEnd w:id="0"/>
      <w:r>
        <w:rPr>
          <w:rFonts w:ascii="仿宋_GB2312" w:hAnsi="仿宋_GB2312" w:eastAsia="仿宋_GB2312"/>
          <w:sz w:val="24"/>
        </w:rPr>
        <w:t>岸带城镇发展、空间结构、产业布局、跨区域协调等提供了科学依据。</w:t>
      </w:r>
    </w:p>
    <w:p w14:paraId="1B8C85D4">
      <w:pPr>
        <w:spacing w:line="360" w:lineRule="auto"/>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ascii="仿宋_GB2312" w:hAnsi="仿宋_GB2312" w:eastAsia="仿宋_GB2312"/>
          <w:sz w:val="24"/>
        </w:rPr>
        <w:t>支撑了多项国家级和省部级基础科学研究课题。包括国家自然科学面上基金“跨系统影响下海岸带空间规划的陆海统筹研究——基于海湾生态系统单元的视角”，国家社会科学重大项目子课题，和国家社会科学基金后期资质项目“海岸带空间脆弱性评估与韧性安全治理研究”。并指导了厦门、福州、宁德等市县地区的陆海统筹规划实践。</w:t>
      </w:r>
    </w:p>
    <w:p w14:paraId="78F6C73E">
      <w:pPr>
        <w:spacing w:line="360" w:lineRule="auto"/>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在课题研究的基础上形成了丰富的学术成果。在《城市规划》《城市规划学刊》《自然资源学报》《生态学报》《地理研究》等权威刊物供发表学术论文7篇；同时，撰写多篇政策建议，获得省级以上主管部门的采纳。</w:t>
      </w:r>
    </w:p>
    <w:p w14:paraId="2E467C54">
      <w:pPr>
        <w:spacing w:line="360" w:lineRule="auto"/>
        <w:rPr>
          <w:rFonts w:hint="eastAsia" w:ascii="仿宋_GB2312" w:hAnsi="仿宋_GB2312" w:eastAsia="仿宋_GB2312"/>
          <w:b/>
          <w:sz w:val="24"/>
        </w:rPr>
      </w:pPr>
      <w:r>
        <w:rPr>
          <w:rFonts w:hint="eastAsia" w:ascii="仿宋_GB2312" w:hAnsi="仿宋_GB2312" w:eastAsia="仿宋_GB2312"/>
          <w:b/>
          <w:sz w:val="24"/>
        </w:rPr>
        <w:t>五、核心优势</w:t>
      </w:r>
    </w:p>
    <w:p w14:paraId="611C5E15">
      <w:pPr>
        <w:spacing w:line="360" w:lineRule="auto"/>
        <w:ind w:firstLine="480" w:firstLineChars="200"/>
        <w:rPr>
          <w:rFonts w:hint="eastAsia" w:ascii="仿宋_GB2312" w:hAnsi="仿宋_GB2312" w:eastAsia="仿宋_GB2312"/>
          <w:sz w:val="24"/>
        </w:rPr>
      </w:pPr>
      <w:r>
        <w:rPr>
          <w:rFonts w:ascii="仿宋_GB2312" w:hAnsi="仿宋_GB2312" w:eastAsia="仿宋_GB2312"/>
          <w:sz w:val="24"/>
        </w:rPr>
        <w:t>1</w:t>
      </w:r>
      <w:r>
        <w:rPr>
          <w:rFonts w:hint="eastAsia" w:ascii="仿宋_GB2312" w:hAnsi="仿宋_GB2312" w:eastAsia="仿宋_GB2312"/>
          <w:sz w:val="24"/>
        </w:rPr>
        <w:t>、</w:t>
      </w:r>
      <w:r>
        <w:rPr>
          <w:rFonts w:ascii="仿宋_GB2312" w:hAnsi="仿宋_GB2312" w:eastAsia="仿宋_GB2312"/>
          <w:sz w:val="24"/>
        </w:rPr>
        <w:t>基于海湾单元的省域海岸带陆海统筹视角创新。采用“海湾单元”作为陆海统筹空间单元，有利于更科学有效地统筹跨行政边界的海岸带资源，实现更合理的海岸带空间资源配置与海岸带规划协调。</w:t>
      </w:r>
    </w:p>
    <w:p w14:paraId="185234FB">
      <w:pPr>
        <w:spacing w:line="360" w:lineRule="auto"/>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ascii="仿宋_GB2312" w:hAnsi="仿宋_GB2312" w:eastAsia="仿宋_GB2312"/>
          <w:sz w:val="24"/>
        </w:rPr>
        <w:t>东联西拓的沿海第四增长极战略思路创新。提出福建省构建双核型“全球海洋中心城市”的发展战略，远期联动台北、高雄形成海洋中心城市群，将成为两岸融合的重要基础，成为福建省建设“海洋强省”的重要方向，并能作为统筹全省海岸带城镇及产业发展的突破口。</w:t>
      </w:r>
    </w:p>
    <w:p w14:paraId="24C7437F">
      <w:pPr>
        <w:spacing w:line="360" w:lineRule="auto"/>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底线适配的海岸带空间规划管控路径创新。结合战略留白的思路，在陆海主导功能适配上，做好底线管控，保留空间弹性。针对污染性工矿空间、渔业空间等对福建省海岸带国土空间格局和海岸带产业的现状问题进行了跨系统的风险识别，并提出了相应的陆海统筹空间管控路径。</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D4"/>
    <w:rsid w:val="00112377"/>
    <w:rsid w:val="00115409"/>
    <w:rsid w:val="002A378E"/>
    <w:rsid w:val="003C0215"/>
    <w:rsid w:val="003C12EE"/>
    <w:rsid w:val="005212D6"/>
    <w:rsid w:val="005E162F"/>
    <w:rsid w:val="0071044F"/>
    <w:rsid w:val="00777C22"/>
    <w:rsid w:val="008E460A"/>
    <w:rsid w:val="009101A6"/>
    <w:rsid w:val="009D1DFF"/>
    <w:rsid w:val="009D617A"/>
    <w:rsid w:val="009F5900"/>
    <w:rsid w:val="00A34F50"/>
    <w:rsid w:val="00B303D4"/>
    <w:rsid w:val="00B73503"/>
    <w:rsid w:val="00BF7D96"/>
    <w:rsid w:val="00C54E46"/>
    <w:rsid w:val="00CF7F6C"/>
    <w:rsid w:val="00D314D4"/>
    <w:rsid w:val="00D46A72"/>
    <w:rsid w:val="00D72150"/>
    <w:rsid w:val="00DA4439"/>
    <w:rsid w:val="00F16475"/>
    <w:rsid w:val="00FC0F81"/>
    <w:rsid w:val="73CC3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726</Words>
  <Characters>734</Characters>
  <Lines>5</Lines>
  <Paragraphs>1</Paragraphs>
  <TotalTime>0</TotalTime>
  <ScaleCrop>false</ScaleCrop>
  <LinksUpToDate>false</LinksUpToDate>
  <CharactersWithSpaces>734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2025-09-30T07:08:00Z</dcterms:created>
  <dc:creator>徐铭晖</dc:creator>
  <cp:lastModifiedBy>张力</cp:lastModifiedBy>
  <dcterms:modified xsi:type="dcterms:W3CDTF">2025-10-11T05:44:49Z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eyJoZGlkIjoiODQwMzQwYTRlZjMzODc5NzNjYWExMzc0MDk3ZjUyZjMiLCJ1c2VySWQiOiIyOTM1NTE3MTIifQ==</vt:lpwstr>
  </property>
  <property fmtid="{D5CDD505-2E9C-101B-9397-08002B2CF9AE}" pid="3" name="KSOProductBuildVer">
    <vt:lpwstr>2052-12.1.0.22529</vt:lpwstr>
  </property>
  <property fmtid="{D5CDD505-2E9C-101B-9397-08002B2CF9AE}" pid="4" name="ICV">
    <vt:lpwstr>5CBCDA54342044459F908AC9C6A8F4D3_12</vt:lpwstr>
  </property>
</Properties>
</file>