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F43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lang w:eastAsia="zh-CN"/>
        </w:rPr>
      </w:pPr>
      <w:r>
        <w:rPr>
          <w:rFonts w:hint="eastAsia" w:ascii="仿宋_GB2312" w:hAnsi="仿宋_GB2312" w:eastAsia="仿宋_GB2312"/>
          <w:b/>
          <w:lang w:eastAsia="zh-CN"/>
        </w:rPr>
        <w:t>一、</w:t>
      </w:r>
      <w:r>
        <w:rPr>
          <w:rFonts w:ascii="仿宋_GB2312" w:hAnsi="仿宋_GB2312" w:eastAsia="仿宋_GB2312"/>
          <w:b/>
          <w:lang w:eastAsia="zh-CN"/>
        </w:rPr>
        <w:t>项目名称</w:t>
      </w:r>
      <w:r>
        <w:rPr>
          <w:rFonts w:hint="eastAsia" w:ascii="仿宋_GB2312" w:hAnsi="仿宋_GB2312" w:eastAsia="仿宋_GB2312"/>
          <w:b/>
          <w:lang w:eastAsia="zh-CN"/>
        </w:rPr>
        <w:t>：</w:t>
      </w:r>
      <w:r>
        <w:rPr>
          <w:rFonts w:hint="eastAsia" w:ascii="仿宋_GB2312" w:hAnsi="仿宋_GB2312" w:eastAsia="仿宋_GB2312"/>
          <w:lang w:eastAsia="zh-CN"/>
        </w:rPr>
        <w:t>福建省国土空间生态修复规划（</w:t>
      </w:r>
      <w:r>
        <w:rPr>
          <w:rFonts w:ascii="仿宋_GB2312" w:hAnsi="仿宋_GB2312" w:eastAsia="仿宋_GB2312"/>
          <w:lang w:eastAsia="zh-CN"/>
        </w:rPr>
        <w:t>2021-2035</w:t>
      </w:r>
      <w:r>
        <w:rPr>
          <w:rFonts w:hint="eastAsia" w:ascii="仿宋_GB2312" w:hAnsi="仿宋_GB2312" w:eastAsia="仿宋_GB2312"/>
          <w:lang w:eastAsia="zh-CN"/>
        </w:rPr>
        <w:t>年）</w:t>
      </w:r>
    </w:p>
    <w:p w14:paraId="5721802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lang w:eastAsia="zh-CN"/>
        </w:rPr>
      </w:pPr>
      <w:r>
        <w:rPr>
          <w:rFonts w:hint="eastAsia" w:ascii="仿宋_GB2312" w:hAnsi="仿宋_GB2312" w:eastAsia="仿宋_GB2312"/>
          <w:b/>
          <w:lang w:eastAsia="zh-CN"/>
        </w:rPr>
        <w:t>二、</w:t>
      </w:r>
      <w:r>
        <w:rPr>
          <w:rFonts w:ascii="仿宋_GB2312" w:hAnsi="仿宋_GB2312" w:eastAsia="仿宋_GB2312"/>
          <w:b/>
          <w:lang w:eastAsia="zh-CN"/>
        </w:rPr>
        <w:t>项目类型</w:t>
      </w:r>
      <w:r>
        <w:rPr>
          <w:rFonts w:hint="eastAsia" w:ascii="仿宋_GB2312" w:hAnsi="仿宋_GB2312" w:eastAsia="仿宋_GB2312"/>
          <w:b/>
          <w:lang w:eastAsia="zh-CN"/>
        </w:rPr>
        <w:t>：</w:t>
      </w:r>
      <w:r>
        <w:rPr>
          <w:rFonts w:hint="eastAsia" w:ascii="仿宋_GB2312" w:hAnsi="仿宋_GB2312" w:eastAsia="仿宋_GB2312"/>
          <w:lang w:eastAsia="zh-CN"/>
        </w:rPr>
        <w:t>相关专项规划</w:t>
      </w:r>
    </w:p>
    <w:p w14:paraId="3B3EFC0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lang w:eastAsia="zh-CN"/>
        </w:rPr>
      </w:pPr>
      <w:r>
        <w:rPr>
          <w:rFonts w:hint="eastAsia" w:ascii="仿宋_GB2312" w:hAnsi="仿宋_GB2312" w:eastAsia="仿宋_GB2312"/>
          <w:b/>
          <w:lang w:eastAsia="zh-CN"/>
        </w:rPr>
        <w:t>三、</w:t>
      </w:r>
      <w:r>
        <w:rPr>
          <w:rFonts w:ascii="仿宋_GB2312" w:hAnsi="仿宋_GB2312" w:eastAsia="仿宋_GB2312"/>
          <w:b/>
          <w:lang w:eastAsia="zh-CN"/>
        </w:rPr>
        <w:t>完成单位</w:t>
      </w:r>
      <w:r>
        <w:rPr>
          <w:rFonts w:hint="eastAsia" w:ascii="仿宋_GB2312" w:hAnsi="仿宋_GB2312" w:eastAsia="仿宋_GB2312"/>
          <w:b/>
          <w:lang w:eastAsia="zh-CN"/>
        </w:rPr>
        <w:t>：</w:t>
      </w:r>
      <w:r>
        <w:rPr>
          <w:rFonts w:hint="eastAsia" w:ascii="仿宋_GB2312" w:hAnsi="仿宋_GB2312" w:eastAsia="仿宋_GB2312"/>
          <w:lang w:eastAsia="zh-CN"/>
        </w:rPr>
        <w:t>福建省地质调查研究院、厦门大学规划设计研究院有限公司、厦门大学、中国电建集团华东勘测设计研究院有限公司</w:t>
      </w:r>
    </w:p>
    <w:p w14:paraId="7A56EBB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b/>
          <w:lang w:eastAsia="zh-CN"/>
        </w:rPr>
      </w:pPr>
      <w:r>
        <w:rPr>
          <w:rFonts w:hint="eastAsia" w:ascii="仿宋_GB2312" w:hAnsi="仿宋_GB2312" w:eastAsia="仿宋_GB2312"/>
          <w:b/>
          <w:lang w:eastAsia="zh-CN"/>
        </w:rPr>
        <w:t>四、</w:t>
      </w:r>
      <w:r>
        <w:rPr>
          <w:rFonts w:ascii="仿宋_GB2312" w:hAnsi="仿宋_GB2312" w:eastAsia="仿宋_GB2312"/>
          <w:b/>
          <w:lang w:eastAsia="zh-CN"/>
        </w:rPr>
        <w:t>实施情况及成效</w:t>
      </w:r>
      <w:r>
        <w:rPr>
          <w:rFonts w:hint="eastAsia" w:ascii="仿宋_GB2312" w:hAnsi="仿宋_GB2312" w:eastAsia="仿宋_GB2312"/>
          <w:b/>
          <w:lang w:eastAsia="zh-CN"/>
        </w:rPr>
        <w:t>：</w:t>
      </w:r>
    </w:p>
    <w:p w14:paraId="739E73A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lang w:eastAsia="zh-CN"/>
        </w:rPr>
      </w:pPr>
      <w:r>
        <w:rPr>
          <w:rFonts w:ascii="仿宋_GB2312" w:hAnsi="仿宋_GB2312" w:eastAsia="仿宋_GB2312"/>
          <w:lang w:eastAsia="zh-CN"/>
        </w:rPr>
        <w:t>1</w:t>
      </w:r>
      <w:r>
        <w:rPr>
          <w:rFonts w:hint="eastAsia" w:ascii="仿宋_GB2312" w:hAnsi="仿宋_GB2312" w:eastAsia="仿宋_GB2312"/>
          <w:lang w:eastAsia="zh-CN"/>
        </w:rPr>
        <w:t>、《福建省国土空间生态修复规划（</w:t>
      </w:r>
      <w:r>
        <w:rPr>
          <w:rFonts w:ascii="仿宋_GB2312" w:hAnsi="仿宋_GB2312" w:eastAsia="仿宋_GB2312"/>
          <w:lang w:eastAsia="zh-CN"/>
        </w:rPr>
        <w:t>2021-2035</w:t>
      </w:r>
      <w:r>
        <w:rPr>
          <w:rFonts w:hint="eastAsia" w:ascii="仿宋_GB2312" w:hAnsi="仿宋_GB2312" w:eastAsia="仿宋_GB2312"/>
          <w:lang w:eastAsia="zh-CN"/>
        </w:rPr>
        <w:t>年）》（闽自然资发〔</w:t>
      </w:r>
      <w:r>
        <w:rPr>
          <w:rFonts w:ascii="仿宋_GB2312" w:hAnsi="仿宋_GB2312" w:eastAsia="仿宋_GB2312"/>
          <w:lang w:eastAsia="zh-CN"/>
        </w:rPr>
        <w:t>2023</w:t>
      </w:r>
      <w:r>
        <w:rPr>
          <w:rFonts w:hint="eastAsia" w:ascii="仿宋_GB2312" w:hAnsi="仿宋_GB2312" w:eastAsia="仿宋_GB2312"/>
          <w:lang w:eastAsia="zh-CN"/>
        </w:rPr>
        <w:t>〕</w:t>
      </w:r>
      <w:r>
        <w:rPr>
          <w:rFonts w:ascii="仿宋_GB2312" w:hAnsi="仿宋_GB2312" w:eastAsia="仿宋_GB2312"/>
          <w:lang w:eastAsia="zh-CN"/>
        </w:rPr>
        <w:t>61</w:t>
      </w:r>
      <w:r>
        <w:rPr>
          <w:rFonts w:hint="eastAsia" w:ascii="仿宋_GB2312" w:hAnsi="仿宋_GB2312" w:eastAsia="仿宋_GB2312"/>
          <w:lang w:eastAsia="zh-CN"/>
        </w:rPr>
        <w:t>号，下称《规划》）印发以来，已成为指导全省生态修复工作的核心纲领。</w:t>
      </w:r>
    </w:p>
    <w:p w14:paraId="20C86860">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lang w:eastAsia="zh-CN"/>
        </w:rPr>
      </w:pPr>
      <w:r>
        <w:rPr>
          <w:rFonts w:hint="eastAsia" w:ascii="仿宋_GB2312" w:hAnsi="仿宋_GB2312" w:eastAsia="仿宋_GB2312"/>
          <w:lang w:eastAsia="zh-CN"/>
        </w:rPr>
        <w:t>2、《规划》的科学性、前瞻性与可操作性在实践中得到充分检验，实施进展顺利，应用推广成果突出，取得了显著的经济、社会和生态效益</w:t>
      </w:r>
      <w:r>
        <w:rPr>
          <w:rFonts w:ascii="仿宋_GB2312" w:hAnsi="仿宋_GB2312" w:eastAsia="仿宋_GB2312"/>
          <w:lang w:eastAsia="zh-CN"/>
        </w:rPr>
        <w:t>。</w:t>
      </w:r>
    </w:p>
    <w:p w14:paraId="4358EB1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lang w:eastAsia="zh-CN"/>
        </w:rPr>
      </w:pPr>
      <w:r>
        <w:rPr>
          <w:rFonts w:hint="eastAsia" w:ascii="仿宋_GB2312" w:hAnsi="仿宋_GB2312" w:eastAsia="仿宋_GB2312"/>
          <w:lang w:eastAsia="zh-CN"/>
        </w:rPr>
        <w:t>3、《规划》作为一项系统性工程，其应用推广价值体现在多维度、深层次的实践引领中。在纵向传导应用上，《规划》作为省级顶层设计，有效指导了市、县级生态修复规划的编制，确保了全省生态修复工作目标统一、步调一致，形成了上下联动的“一盘棋”格局。</w:t>
      </w:r>
    </w:p>
    <w:p w14:paraId="453F9E6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b/>
          <w:lang w:eastAsia="zh-CN"/>
        </w:rPr>
      </w:pPr>
      <w:r>
        <w:rPr>
          <w:rFonts w:hint="eastAsia" w:ascii="仿宋_GB2312" w:hAnsi="仿宋_GB2312" w:eastAsia="仿宋_GB2312"/>
          <w:b/>
          <w:lang w:eastAsia="zh-CN"/>
        </w:rPr>
        <w:t>五、核心优势</w:t>
      </w:r>
      <w:bookmarkStart w:id="0" w:name="_GoBack"/>
      <w:bookmarkEnd w:id="0"/>
    </w:p>
    <w:p w14:paraId="5CFCD9F5">
      <w:pPr>
        <w:keepNext w:val="0"/>
        <w:keepLines w:val="0"/>
        <w:pageBreakBefore w:val="0"/>
        <w:widowControl/>
        <w:kinsoku/>
        <w:wordWrap/>
        <w:overflowPunct/>
        <w:topLinePunct w:val="0"/>
        <w:autoSpaceDE/>
        <w:autoSpaceDN/>
        <w:bidi w:val="0"/>
        <w:adjustRightInd/>
        <w:snapToGrid/>
        <w:spacing w:line="360" w:lineRule="auto"/>
        <w:ind w:right="96" w:rightChars="40" w:firstLine="482" w:firstLineChars="200"/>
        <w:jc w:val="both"/>
        <w:textAlignment w:val="auto"/>
        <w:rPr>
          <w:rFonts w:ascii="仿宋_GB2312" w:hAnsi="仿宋_GB2312" w:eastAsia="仿宋_GB2312"/>
          <w:lang w:eastAsia="zh-CN"/>
        </w:rPr>
      </w:pPr>
      <w:r>
        <w:rPr>
          <w:rFonts w:hint="eastAsia" w:ascii="仿宋_GB2312" w:hAnsi="仿宋_GB2312" w:eastAsia="仿宋_GB2312" w:cstheme="minorBidi"/>
          <w:b/>
          <w:bCs/>
          <w:kern w:val="2"/>
          <w:sz w:val="24"/>
          <w:lang w:val="en-US" w:eastAsia="zh-CN" w:bidi="ar-SA"/>
        </w:rPr>
        <w:t>1、系统</w:t>
      </w:r>
      <w:r>
        <w:rPr>
          <w:rFonts w:hint="eastAsia" w:ascii="仿宋_GB2312" w:hAnsi="宋体" w:eastAsia="仿宋_GB2312" w:cs="宋体"/>
          <w:b/>
          <w:bCs w:val="0"/>
          <w:color w:val="auto"/>
          <w:lang w:eastAsia="zh-CN" w:bidi="zh-TW"/>
        </w:rPr>
        <w:t>性构建了“从山顶到海洋”的国土空间生态保护治理大格局。</w:t>
      </w:r>
      <w:r>
        <w:rPr>
          <w:rFonts w:hint="eastAsia" w:ascii="仿宋_GB2312" w:hAnsi="仿宋_GB2312" w:eastAsia="仿宋_GB2312"/>
          <w:lang w:eastAsia="zh-CN"/>
        </w:rPr>
        <w:t>在生态修复分区修复上突破了传统以行政边界或单一要素为主的规划模式，彻底突破了传统按生态要素分条线治理的路径依赖，以“生命共同体”理念为根本遵循，在全国范围内率先构建了贯穿“山、水、林、田、湖、海”全要素的“从山顶到海洋”保护治理大格局。这一范式革新，实现了从局部、单点治理向全域、系统治理的根本性转变，确立了陆海统筹、山河联动的生态修复顶层设计，为构建连续、完整、稳定的国土生态系统提供了系统性解决方案与福建范式。</w:t>
      </w:r>
    </w:p>
    <w:p w14:paraId="6EF90DBD">
      <w:pPr>
        <w:keepNext w:val="0"/>
        <w:keepLines w:val="0"/>
        <w:pageBreakBefore w:val="0"/>
        <w:widowControl/>
        <w:kinsoku/>
        <w:wordWrap/>
        <w:overflowPunct/>
        <w:topLinePunct w:val="0"/>
        <w:autoSpaceDE/>
        <w:autoSpaceDN/>
        <w:bidi w:val="0"/>
        <w:adjustRightInd/>
        <w:snapToGrid/>
        <w:spacing w:line="360" w:lineRule="auto"/>
        <w:ind w:right="96" w:rightChars="40" w:firstLine="482" w:firstLineChars="200"/>
        <w:jc w:val="both"/>
        <w:textAlignment w:val="auto"/>
        <w:rPr>
          <w:rFonts w:ascii="仿宋_GB2312" w:hAnsi="仿宋_GB2312" w:eastAsia="仿宋_GB2312"/>
          <w:lang w:eastAsia="zh-CN"/>
        </w:rPr>
      </w:pPr>
      <w:r>
        <w:rPr>
          <w:rFonts w:hint="eastAsia" w:ascii="仿宋_GB2312" w:hAnsi="仿宋_GB2312" w:eastAsia="仿宋_GB2312" w:cstheme="minorBidi"/>
          <w:b/>
          <w:bCs/>
          <w:kern w:val="2"/>
          <w:sz w:val="24"/>
          <w:lang w:val="en-US" w:eastAsia="zh-CN" w:bidi="ar-SA"/>
        </w:rPr>
        <w:t>2、创建</w:t>
      </w:r>
      <w:r>
        <w:rPr>
          <w:rFonts w:hint="eastAsia" w:ascii="仿宋_GB2312" w:hAnsi="仿宋_GB2312" w:eastAsia="仿宋_GB2312"/>
          <w:b/>
          <w:bCs/>
          <w:lang w:eastAsia="zh-CN"/>
        </w:rPr>
        <w:t>以流域为单元的“一区多元”复合修复体系。</w:t>
      </w:r>
      <w:r>
        <w:rPr>
          <w:rFonts w:hint="eastAsia" w:ascii="仿宋_GB2312" w:hAnsi="仿宋_GB2312" w:eastAsia="仿宋_GB2312"/>
          <w:lang w:eastAsia="zh-CN"/>
        </w:rPr>
        <w:t>创新性地以自然流域为基本管理单元，以水文过程为天然主轴，系统诊断“上游—下游、山上—山下、岸上—岸下”的生态关联性问题。通过识别流域内多生态系统间的耦合作用机制与影响路径，精准解析核心生态“病症”的根源与关联要素，创建了“一区多元”复合生态治理模式。该方法不仅关注核心要素的修复，更兼顾耦合要素的协同治理，确保了修复策略遵循自然生态演替规律，实现了从“治标”到“治本”的科学提升。</w:t>
      </w:r>
    </w:p>
    <w:p w14:paraId="2C447E35">
      <w:pPr>
        <w:keepNext w:val="0"/>
        <w:keepLines w:val="0"/>
        <w:pageBreakBefore w:val="0"/>
        <w:widowControl/>
        <w:kinsoku/>
        <w:wordWrap/>
        <w:overflowPunct/>
        <w:topLinePunct w:val="0"/>
        <w:autoSpaceDE/>
        <w:autoSpaceDN/>
        <w:bidi w:val="0"/>
        <w:adjustRightInd/>
        <w:snapToGrid/>
        <w:spacing w:line="360" w:lineRule="auto"/>
        <w:ind w:right="96" w:rightChars="40" w:firstLine="482"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b/>
          <w:bCs/>
          <w:lang w:eastAsia="zh-CN"/>
        </w:rPr>
        <w:t>3</w:t>
      </w:r>
      <w:r>
        <w:rPr>
          <w:rFonts w:hint="eastAsia" w:ascii="仿宋_GB2312" w:hAnsi="仿宋_GB2312" w:eastAsia="仿宋_GB2312"/>
          <w:b/>
          <w:bCs/>
          <w:lang w:val="en-US" w:eastAsia="zh-CN"/>
        </w:rPr>
        <w:t>、突</w:t>
      </w:r>
      <w:r>
        <w:rPr>
          <w:rFonts w:hint="eastAsia" w:ascii="仿宋_GB2312" w:hAnsi="仿宋_GB2312" w:eastAsia="仿宋_GB2312" w:cstheme="minorBidi"/>
          <w:b/>
          <w:bCs/>
          <w:kern w:val="2"/>
          <w:sz w:val="24"/>
          <w:lang w:val="en-US" w:eastAsia="zh-CN" w:bidi="ar-SA"/>
        </w:rPr>
        <w:t>出海</w:t>
      </w:r>
      <w:r>
        <w:rPr>
          <w:rFonts w:hint="eastAsia" w:ascii="仿宋_GB2312" w:hAnsi="仿宋_GB2312" w:eastAsia="仿宋_GB2312"/>
          <w:b/>
          <w:bCs/>
          <w:lang w:eastAsia="zh-CN"/>
        </w:rPr>
        <w:t>洋生态修复、蓝碳增汇等福建特色前沿领域。</w:t>
      </w:r>
      <w:r>
        <w:rPr>
          <w:rFonts w:hint="eastAsia" w:ascii="仿宋_GB2312" w:hAnsi="仿宋_GB2312" w:eastAsia="仿宋_GB2312"/>
          <w:lang w:eastAsia="zh-CN"/>
        </w:rPr>
        <w:t>针对福建作为海洋大省的特点，规划特别强调了海岸带防护能力提升、滨海湿地修复、珍稀海洋生物栖息地保护、典型海湾综合治理、海岛保护与修复等，体现了鲜明的“蓝碳”和海洋生态安全考量。不仅关注森林等绿色生态系统的固碳能力，也前瞻性地将红树林、海草床、盐沼等蓝色碳汇生态系统的修复纳入规划，探索生态修复与碳中和目标的实现路径</w:t>
      </w:r>
      <w:r>
        <w:rPr>
          <w:rFonts w:ascii="仿宋_GB2312" w:hAnsi="仿宋_GB2312" w:eastAsia="仿宋_GB2312"/>
          <w:lang w:eastAsia="zh-CN"/>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4E7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1DA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94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E7CB">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1F3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2FA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C1CB3"/>
    <w:multiLevelType w:val="singleLevel"/>
    <w:tmpl w:val="BF7C1CB3"/>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EFA292"/>
    <w:rsid w:val="00001D97"/>
    <w:rsid w:val="00083ECD"/>
    <w:rsid w:val="00084E60"/>
    <w:rsid w:val="00085909"/>
    <w:rsid w:val="00087CCE"/>
    <w:rsid w:val="000B6284"/>
    <w:rsid w:val="000E33DC"/>
    <w:rsid w:val="00100F60"/>
    <w:rsid w:val="0018314D"/>
    <w:rsid w:val="00201B0D"/>
    <w:rsid w:val="002372C7"/>
    <w:rsid w:val="002B7A7D"/>
    <w:rsid w:val="002D68A0"/>
    <w:rsid w:val="00324EBF"/>
    <w:rsid w:val="00370DF9"/>
    <w:rsid w:val="00391979"/>
    <w:rsid w:val="003B6EBF"/>
    <w:rsid w:val="003C2C60"/>
    <w:rsid w:val="003D7AF4"/>
    <w:rsid w:val="00460BE2"/>
    <w:rsid w:val="004D5176"/>
    <w:rsid w:val="00507C90"/>
    <w:rsid w:val="00532F4F"/>
    <w:rsid w:val="00561449"/>
    <w:rsid w:val="005649E9"/>
    <w:rsid w:val="00566C0B"/>
    <w:rsid w:val="005A1276"/>
    <w:rsid w:val="00616745"/>
    <w:rsid w:val="00640B3C"/>
    <w:rsid w:val="00647CF3"/>
    <w:rsid w:val="00680251"/>
    <w:rsid w:val="006B1A1D"/>
    <w:rsid w:val="006B4ABC"/>
    <w:rsid w:val="006C2F17"/>
    <w:rsid w:val="006E144E"/>
    <w:rsid w:val="006F08DA"/>
    <w:rsid w:val="00700704"/>
    <w:rsid w:val="00704C03"/>
    <w:rsid w:val="00706933"/>
    <w:rsid w:val="00732531"/>
    <w:rsid w:val="00745012"/>
    <w:rsid w:val="00775083"/>
    <w:rsid w:val="007E641A"/>
    <w:rsid w:val="00896842"/>
    <w:rsid w:val="008C0FB4"/>
    <w:rsid w:val="008D6F77"/>
    <w:rsid w:val="008E29AF"/>
    <w:rsid w:val="00921919"/>
    <w:rsid w:val="00935154"/>
    <w:rsid w:val="0094104E"/>
    <w:rsid w:val="00945C7E"/>
    <w:rsid w:val="009538D8"/>
    <w:rsid w:val="00953DA0"/>
    <w:rsid w:val="009774EE"/>
    <w:rsid w:val="00985ECD"/>
    <w:rsid w:val="009A47FF"/>
    <w:rsid w:val="009C7A8E"/>
    <w:rsid w:val="009D34D4"/>
    <w:rsid w:val="009D5BD0"/>
    <w:rsid w:val="009E4CD2"/>
    <w:rsid w:val="009E4E74"/>
    <w:rsid w:val="00A27DEE"/>
    <w:rsid w:val="00A61F2C"/>
    <w:rsid w:val="00A803B5"/>
    <w:rsid w:val="00AA2D5E"/>
    <w:rsid w:val="00AB0CED"/>
    <w:rsid w:val="00AC4BAA"/>
    <w:rsid w:val="00B105B9"/>
    <w:rsid w:val="00B23C71"/>
    <w:rsid w:val="00B32C2F"/>
    <w:rsid w:val="00B57262"/>
    <w:rsid w:val="00B70FA3"/>
    <w:rsid w:val="00B96851"/>
    <w:rsid w:val="00BA4C11"/>
    <w:rsid w:val="00BA7FB1"/>
    <w:rsid w:val="00BC680C"/>
    <w:rsid w:val="00C10B34"/>
    <w:rsid w:val="00C16205"/>
    <w:rsid w:val="00C67BCB"/>
    <w:rsid w:val="00CE06F9"/>
    <w:rsid w:val="00CF03EC"/>
    <w:rsid w:val="00CF306A"/>
    <w:rsid w:val="00D03693"/>
    <w:rsid w:val="00D35313"/>
    <w:rsid w:val="00D45E04"/>
    <w:rsid w:val="00D610ED"/>
    <w:rsid w:val="00D80534"/>
    <w:rsid w:val="00DB071F"/>
    <w:rsid w:val="00DE6B5B"/>
    <w:rsid w:val="00E77637"/>
    <w:rsid w:val="00EA19A6"/>
    <w:rsid w:val="00EB540B"/>
    <w:rsid w:val="00F0156B"/>
    <w:rsid w:val="00F147C2"/>
    <w:rsid w:val="00F15D7B"/>
    <w:rsid w:val="00F21C36"/>
    <w:rsid w:val="00F27E53"/>
    <w:rsid w:val="00FE3A91"/>
    <w:rsid w:val="01D85726"/>
    <w:rsid w:val="0B5F23B6"/>
    <w:rsid w:val="14F936C8"/>
    <w:rsid w:val="17DD454F"/>
    <w:rsid w:val="1AE23428"/>
    <w:rsid w:val="1C9F1DD3"/>
    <w:rsid w:val="1E6B6F1B"/>
    <w:rsid w:val="20185ABD"/>
    <w:rsid w:val="239A7798"/>
    <w:rsid w:val="28265055"/>
    <w:rsid w:val="2F0D1608"/>
    <w:rsid w:val="2FFBB8DE"/>
    <w:rsid w:val="31EC70F5"/>
    <w:rsid w:val="33FC5B28"/>
    <w:rsid w:val="36FB325B"/>
    <w:rsid w:val="37727331"/>
    <w:rsid w:val="3B1530BD"/>
    <w:rsid w:val="3BBAA693"/>
    <w:rsid w:val="3BDB943D"/>
    <w:rsid w:val="3BE37285"/>
    <w:rsid w:val="3BEFA292"/>
    <w:rsid w:val="3D087680"/>
    <w:rsid w:val="3E2D3D26"/>
    <w:rsid w:val="3EEF66F6"/>
    <w:rsid w:val="431934B4"/>
    <w:rsid w:val="4428119A"/>
    <w:rsid w:val="4EB53939"/>
    <w:rsid w:val="4EFFECE6"/>
    <w:rsid w:val="51592402"/>
    <w:rsid w:val="5336626E"/>
    <w:rsid w:val="5765363E"/>
    <w:rsid w:val="57B41ECF"/>
    <w:rsid w:val="59FB484D"/>
    <w:rsid w:val="5A477413"/>
    <w:rsid w:val="5CC03EFE"/>
    <w:rsid w:val="63DF019D"/>
    <w:rsid w:val="6D773335"/>
    <w:rsid w:val="6EDFCFBB"/>
    <w:rsid w:val="6FFC1E76"/>
    <w:rsid w:val="71441195"/>
    <w:rsid w:val="74096AED"/>
    <w:rsid w:val="74A419DE"/>
    <w:rsid w:val="767E7F3E"/>
    <w:rsid w:val="774379E7"/>
    <w:rsid w:val="78A235FD"/>
    <w:rsid w:val="797E4895"/>
    <w:rsid w:val="7BF2BE3B"/>
    <w:rsid w:val="7C3C7CC0"/>
    <w:rsid w:val="7C5902C1"/>
    <w:rsid w:val="7CD42548"/>
    <w:rsid w:val="7CDF2055"/>
    <w:rsid w:val="7E7EEF8B"/>
    <w:rsid w:val="7E95622D"/>
    <w:rsid w:val="7FC518F3"/>
    <w:rsid w:val="7FDF99C8"/>
    <w:rsid w:val="7FF5F494"/>
    <w:rsid w:val="7FFF5464"/>
    <w:rsid w:val="8CF2CCEE"/>
    <w:rsid w:val="A2EB0B55"/>
    <w:rsid w:val="A6F64010"/>
    <w:rsid w:val="AA3D379A"/>
    <w:rsid w:val="B7AF4AF9"/>
    <w:rsid w:val="BD5F82D0"/>
    <w:rsid w:val="BFBE5B5E"/>
    <w:rsid w:val="BFDF404E"/>
    <w:rsid w:val="C3EE810C"/>
    <w:rsid w:val="CAFA6663"/>
    <w:rsid w:val="CE9F65B4"/>
    <w:rsid w:val="CF7F52B1"/>
    <w:rsid w:val="CF8E1467"/>
    <w:rsid w:val="D8FBA6FA"/>
    <w:rsid w:val="DDD245D7"/>
    <w:rsid w:val="DDE7456B"/>
    <w:rsid w:val="DFFB44F8"/>
    <w:rsid w:val="EDFD5520"/>
    <w:rsid w:val="F7E39FFD"/>
    <w:rsid w:val="F9EB7E5A"/>
    <w:rsid w:val="F9FFFBAE"/>
    <w:rsid w:val="FAB7B3CA"/>
    <w:rsid w:val="FB3A3D03"/>
    <w:rsid w:val="FCAFF1A7"/>
    <w:rsid w:val="FDAF65FD"/>
    <w:rsid w:val="FEBFB05B"/>
    <w:rsid w:val="FEFFCAA7"/>
    <w:rsid w:val="FFFB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Times New Roman" w:cs="Times New Roman"/>
      <w:color w:val="000000"/>
      <w:sz w:val="24"/>
      <w:szCs w:val="24"/>
      <w:lang w:val="en-US" w:eastAsia="en-US" w:bidi="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1"/>
    <w:pPr>
      <w:spacing w:after="120"/>
    </w:pPr>
    <w:rPr>
      <w:lang w:val="zh-CN"/>
    </w:rPr>
  </w:style>
  <w:style w:type="paragraph" w:styleId="3">
    <w:name w:val="Body Text Indent"/>
    <w:basedOn w:val="1"/>
    <w:next w:val="4"/>
    <w:qFormat/>
    <w:uiPriority w:val="0"/>
    <w:pPr>
      <w:spacing w:after="120"/>
      <w:ind w:left="420" w:leftChars="200"/>
    </w:pPr>
  </w:style>
  <w:style w:type="paragraph" w:styleId="4">
    <w:name w:val="footer"/>
    <w:basedOn w:val="1"/>
    <w:next w:val="3"/>
    <w:qFormat/>
    <w:uiPriority w:val="0"/>
    <w:pPr>
      <w:tabs>
        <w:tab w:val="center" w:pos="4153"/>
        <w:tab w:val="right" w:pos="8306"/>
      </w:tabs>
      <w:snapToGrid w:val="0"/>
    </w:pPr>
    <w:rPr>
      <w:sz w:val="18"/>
    </w:rPr>
  </w:style>
  <w:style w:type="paragraph" w:styleId="5">
    <w:name w:val="Plain Text"/>
    <w:basedOn w:val="1"/>
    <w:next w:val="6"/>
    <w:qFormat/>
    <w:uiPriority w:val="0"/>
    <w:rPr>
      <w:rFonts w:ascii="宋体" w:hAnsi="Courier New"/>
      <w:sz w:val="20"/>
      <w:szCs w:val="21"/>
    </w:rPr>
  </w:style>
  <w:style w:type="paragraph" w:styleId="6">
    <w:name w:val="List Number 5"/>
    <w:basedOn w:val="1"/>
    <w:qFormat/>
    <w:uiPriority w:val="0"/>
    <w:pPr>
      <w:numPr>
        <w:ilvl w:val="0"/>
        <w:numId w:val="1"/>
      </w:numPr>
    </w:pPr>
  </w:style>
  <w:style w:type="paragraph" w:styleId="7">
    <w:name w:val="Balloon Text"/>
    <w:basedOn w:val="1"/>
    <w:link w:val="15"/>
    <w:qFormat/>
    <w:uiPriority w:val="0"/>
    <w:rPr>
      <w:sz w:val="18"/>
      <w:szCs w:val="18"/>
      <w:lang w:val="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uppressAutoHyphens/>
      <w:spacing w:before="100" w:beforeAutospacing="1" w:after="100" w:afterAutospacing="1"/>
    </w:pPr>
    <w:rPr>
      <w:rFonts w:ascii="Calibri" w:hAnsi="Calibri" w:eastAsia="宋体"/>
      <w:color w:val="auto"/>
      <w:lang w:eastAsia="zh-CN" w:bidi="ar-SA"/>
    </w:rPr>
  </w:style>
  <w:style w:type="table" w:styleId="11">
    <w:name w:val="Table Grid"/>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customStyle="1" w:styleId="14">
    <w:name w:val="正文文本 字符"/>
    <w:link w:val="2"/>
    <w:semiHidden/>
    <w:qFormat/>
    <w:uiPriority w:val="0"/>
    <w:rPr>
      <w:rFonts w:ascii="Times New Roman" w:hAnsi="Times New Roman" w:eastAsia="Times New Roman"/>
      <w:color w:val="000000"/>
      <w:sz w:val="24"/>
      <w:szCs w:val="24"/>
      <w:lang w:eastAsia="en-US" w:bidi="en-US"/>
    </w:rPr>
  </w:style>
  <w:style w:type="character" w:customStyle="1" w:styleId="15">
    <w:name w:val="批注框文本 字符"/>
    <w:link w:val="7"/>
    <w:qFormat/>
    <w:uiPriority w:val="0"/>
    <w:rPr>
      <w:rFonts w:ascii="Times New Roman" w:hAnsi="Times New Roman" w:eastAsia="Times New Roman"/>
      <w:color w:val="000000"/>
      <w:sz w:val="18"/>
      <w:szCs w:val="18"/>
      <w:lang w:eastAsia="en-US" w:bidi="en-US"/>
    </w:rPr>
  </w:style>
  <w:style w:type="paragraph" w:customStyle="1" w:styleId="16">
    <w:name w:val="正文首行缩进1"/>
    <w:basedOn w:val="2"/>
    <w:link w:val="17"/>
    <w:qFormat/>
    <w:uiPriority w:val="0"/>
    <w:pPr>
      <w:ind w:firstLine="420" w:firstLineChars="100"/>
    </w:pPr>
    <w:rPr>
      <w:rFonts w:eastAsia="宋体"/>
      <w:color w:val="auto"/>
      <w:sz w:val="20"/>
      <w:szCs w:val="20"/>
    </w:rPr>
  </w:style>
  <w:style w:type="character" w:customStyle="1" w:styleId="17">
    <w:name w:val="正文首行缩进 Char"/>
    <w:link w:val="16"/>
    <w:qFormat/>
    <w:uiPriority w:val="0"/>
    <w:rPr>
      <w:lang w:eastAsia="en-US" w:bidi="en-US"/>
    </w:rPr>
  </w:style>
  <w:style w:type="paragraph" w:customStyle="1" w:styleId="18">
    <w:name w:val="Body text|1"/>
    <w:basedOn w:val="1"/>
    <w:qFormat/>
    <w:uiPriority w:val="0"/>
    <w:pPr>
      <w:spacing w:after="140" w:line="437"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Company>
  <Pages>2</Pages>
  <Words>991</Words>
  <Characters>1011</Characters>
  <Lines>67</Lines>
  <Paragraphs>43</Paragraphs>
  <TotalTime>35</TotalTime>
  <ScaleCrop>false</ScaleCrop>
  <LinksUpToDate>false</LinksUpToDate>
  <CharactersWithSpaces>1011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2025-10-10T06:58:00Z</dcterms:created>
  <dc:creator>zgl</dc:creator>
  <cp:lastModifiedBy>Eunice</cp:lastModifiedBy>
  <cp:lastPrinted>2025-09-24T10:47:00Z</cp:lastPrinted>
  <dcterms:modified xsi:type="dcterms:W3CDTF">2025-10-11T09:51:44Z</dcterms:modified>
  <dc:title>附件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014E1EFE7B14448E93B7480A0B471636_13</vt:lpwstr>
  </property>
  <property fmtid="{D5CDD505-2E9C-101B-9397-08002B2CF9AE}" pid="4" name="KSOTemplateDocerSaveRecord">
    <vt:lpwstr>eyJoZGlkIjoiNjg1NDNhZDQ5ZGMzZjgxYmMzYWM2MzJhMjdjODFmYjAiLCJ1c2VySWQiOiI2NTc4MDg0NTUifQ==</vt:lpwstr>
  </property>
</Properties>
</file>