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06C5">
      <w:pPr>
        <w:spacing w:line="360" w:lineRule="auto"/>
        <w:rPr>
          <w:rFonts w:hint="eastAsia" w:ascii="仿宋_GB2312" w:hAnsi="仿宋_GB2312" w:eastAsia="仿宋_GB2312"/>
          <w:sz w:val="24"/>
        </w:rPr>
      </w:pPr>
      <w:r>
        <w:rPr>
          <w:rFonts w:hint="eastAsia" w:ascii="仿宋_GB2312" w:hAnsi="仿宋_GB2312" w:eastAsia="仿宋_GB2312"/>
          <w:b/>
          <w:sz w:val="24"/>
        </w:rPr>
        <w:t>一、</w:t>
      </w:r>
      <w:r>
        <w:rPr>
          <w:rFonts w:ascii="仿宋_GB2312" w:hAnsi="仿宋_GB2312" w:eastAsia="仿宋_GB2312"/>
          <w:b/>
          <w:sz w:val="24"/>
        </w:rPr>
        <w:t>项目名称</w:t>
      </w:r>
      <w:r>
        <w:rPr>
          <w:rFonts w:hint="eastAsia" w:ascii="仿宋_GB2312" w:hAnsi="仿宋_GB2312" w:eastAsia="仿宋_GB2312"/>
          <w:b/>
          <w:sz w:val="24"/>
        </w:rPr>
        <w:t>：</w:t>
      </w:r>
      <w:r>
        <w:rPr>
          <w:rFonts w:hint="eastAsia" w:ascii="仿宋_GB2312" w:hAnsi="仿宋_GB2312" w:eastAsia="仿宋_GB2312"/>
          <w:sz w:val="24"/>
        </w:rPr>
        <w:t>厦门市海沧区街道空间资产化与试点运营研究</w:t>
      </w:r>
    </w:p>
    <w:p w14:paraId="77AABEDF">
      <w:pPr>
        <w:spacing w:line="360" w:lineRule="auto"/>
        <w:rPr>
          <w:rFonts w:hint="eastAsia" w:ascii="仿宋_GB2312" w:hAnsi="仿宋_GB2312" w:eastAsia="仿宋_GB2312"/>
          <w:sz w:val="24"/>
        </w:rPr>
      </w:pPr>
      <w:r>
        <w:rPr>
          <w:rFonts w:hint="eastAsia" w:ascii="仿宋_GB2312" w:hAnsi="仿宋_GB2312" w:eastAsia="仿宋_GB2312"/>
          <w:b/>
          <w:sz w:val="24"/>
        </w:rPr>
        <w:t>二、</w:t>
      </w:r>
      <w:r>
        <w:rPr>
          <w:rFonts w:ascii="仿宋_GB2312" w:hAnsi="仿宋_GB2312" w:eastAsia="仿宋_GB2312"/>
          <w:b/>
          <w:sz w:val="24"/>
        </w:rPr>
        <w:t>项目类型</w:t>
      </w:r>
      <w:r>
        <w:rPr>
          <w:rFonts w:hint="eastAsia" w:ascii="仿宋_GB2312" w:hAnsi="仿宋_GB2312" w:eastAsia="仿宋_GB2312"/>
          <w:b/>
          <w:sz w:val="24"/>
        </w:rPr>
        <w:t>：</w:t>
      </w:r>
      <w:r>
        <w:rPr>
          <w:rFonts w:hint="eastAsia" w:ascii="仿宋_GB2312" w:hAnsi="仿宋_GB2312" w:eastAsia="仿宋_GB2312"/>
          <w:sz w:val="24"/>
        </w:rPr>
        <w:t>规划管理创新实践</w:t>
      </w:r>
    </w:p>
    <w:p w14:paraId="6C696E70">
      <w:pPr>
        <w:spacing w:line="360" w:lineRule="auto"/>
        <w:rPr>
          <w:rFonts w:hint="eastAsia" w:ascii="仿宋_GB2312" w:hAnsi="仿宋_GB2312" w:eastAsia="仿宋_GB2312"/>
          <w:sz w:val="24"/>
        </w:rPr>
      </w:pPr>
      <w:r>
        <w:rPr>
          <w:rFonts w:hint="eastAsia" w:ascii="仿宋_GB2312" w:hAnsi="仿宋_GB2312" w:eastAsia="仿宋_GB2312"/>
          <w:b/>
          <w:sz w:val="24"/>
        </w:rPr>
        <w:t>三、</w:t>
      </w:r>
      <w:r>
        <w:rPr>
          <w:rFonts w:ascii="仿宋_GB2312" w:hAnsi="仿宋_GB2312" w:eastAsia="仿宋_GB2312"/>
          <w:b/>
          <w:sz w:val="24"/>
        </w:rPr>
        <w:t>完成单位</w:t>
      </w:r>
      <w:r>
        <w:rPr>
          <w:rFonts w:hint="eastAsia" w:ascii="仿宋_GB2312" w:hAnsi="仿宋_GB2312" w:eastAsia="仿宋_GB2312"/>
          <w:b/>
          <w:sz w:val="24"/>
        </w:rPr>
        <w:t>：</w:t>
      </w:r>
      <w:r>
        <w:rPr>
          <w:rFonts w:ascii="仿宋_GB2312" w:hAnsi="仿宋_GB2312" w:eastAsia="仿宋_GB2312"/>
          <w:sz w:val="24"/>
        </w:rPr>
        <w:t>厦门大学规划设计研究院有限公司</w:t>
      </w:r>
      <w:r>
        <w:rPr>
          <w:rFonts w:hint="eastAsia" w:ascii="仿宋_GB2312" w:hAnsi="仿宋_GB2312" w:eastAsia="仿宋_GB2312"/>
          <w:sz w:val="24"/>
          <w:lang w:eastAsia="zh-CN"/>
        </w:rPr>
        <w:t>、</w:t>
      </w:r>
      <w:r>
        <w:rPr>
          <w:rFonts w:hint="eastAsia" w:ascii="仿宋_GB2312" w:hAnsi="仿宋_GB2312" w:eastAsia="仿宋_GB2312"/>
          <w:sz w:val="24"/>
          <w:lang w:val="en-US" w:eastAsia="zh-CN"/>
        </w:rPr>
        <w:t>厦门大学</w:t>
      </w:r>
      <w:bookmarkStart w:id="1" w:name="_GoBack"/>
      <w:bookmarkEnd w:id="1"/>
    </w:p>
    <w:p w14:paraId="23BEC197">
      <w:pPr>
        <w:spacing w:line="360" w:lineRule="auto"/>
        <w:rPr>
          <w:rFonts w:hint="eastAsia" w:ascii="仿宋_GB2312" w:hAnsi="仿宋_GB2312" w:eastAsia="仿宋_GB2312"/>
          <w:b/>
          <w:sz w:val="24"/>
        </w:rPr>
      </w:pPr>
      <w:r>
        <w:rPr>
          <w:rFonts w:hint="eastAsia" w:ascii="仿宋_GB2312" w:hAnsi="仿宋_GB2312" w:eastAsia="仿宋_GB2312"/>
          <w:b/>
          <w:sz w:val="24"/>
        </w:rPr>
        <w:t>四、</w:t>
      </w:r>
      <w:r>
        <w:rPr>
          <w:rFonts w:ascii="仿宋_GB2312" w:hAnsi="仿宋_GB2312" w:eastAsia="仿宋_GB2312"/>
          <w:b/>
          <w:sz w:val="24"/>
        </w:rPr>
        <w:t>实施情况及成效</w:t>
      </w:r>
      <w:r>
        <w:rPr>
          <w:rFonts w:hint="eastAsia" w:ascii="仿宋_GB2312" w:hAnsi="仿宋_GB2312" w:eastAsia="仿宋_GB2312"/>
          <w:b/>
          <w:sz w:val="24"/>
        </w:rPr>
        <w:t>：</w:t>
      </w:r>
    </w:p>
    <w:p w14:paraId="2F1CF884">
      <w:pPr>
        <w:spacing w:line="360" w:lineRule="auto"/>
        <w:ind w:firstLine="480" w:firstLineChars="200"/>
        <w:rPr>
          <w:rFonts w:hint="eastAsia"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w:t>
      </w:r>
      <w:r>
        <w:rPr>
          <w:rFonts w:ascii="仿宋_GB2312" w:hAnsi="仿宋_GB2312" w:eastAsia="仿宋_GB2312"/>
          <w:sz w:val="24"/>
        </w:rPr>
        <w:t>项目成果已</w:t>
      </w:r>
      <w:r>
        <w:rPr>
          <w:rFonts w:hint="eastAsia" w:ascii="仿宋_GB2312" w:hAnsi="仿宋_GB2312" w:eastAsia="仿宋_GB2312"/>
          <w:sz w:val="24"/>
        </w:rPr>
        <w:t>指导《海沧区沧林东二、三路街道空间活化提升详细规划》，</w:t>
      </w:r>
      <w:bookmarkStart w:id="0" w:name="OLE_LINK2"/>
      <w:r>
        <w:rPr>
          <w:rFonts w:hint="eastAsia" w:ascii="仿宋_GB2312" w:hAnsi="仿宋_GB2312" w:eastAsia="仿宋_GB2312"/>
          <w:sz w:val="24"/>
        </w:rPr>
        <w:t>在街道提升工程实施过程中保障资产化要素配置的可行性与落地性。</w:t>
      </w:r>
      <w:bookmarkEnd w:id="0"/>
    </w:p>
    <w:p w14:paraId="1B8C85D4">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2、项目所提出的由国资平台公司行使资产所有者职责，统一运营街道空间资产的建议已部分落实，目前，项目范围内的街道有偿化使用空间由海沧城建集团负责统筹管理和运营维护。海沧城建集团进一步明确了其作为“城乡建设运营综合服务商”的职责。</w:t>
      </w:r>
    </w:p>
    <w:p w14:paraId="78F6C73E">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3、项目所提出的街道空间资产化策划，如路边停车位有偿化使用，公交停靠站广告牌有偿化使用、共享单车租位、店前空间充电桩等已落地实施。产生的现金流可实现对街道空间前期资本性建设投入的快速周转，对减少财政压力具有立竿见影的效果</w:t>
      </w:r>
      <w:r>
        <w:rPr>
          <w:rFonts w:ascii="仿宋_GB2312" w:hAnsi="仿宋_GB2312" w:eastAsia="仿宋_GB2312"/>
          <w:sz w:val="24"/>
        </w:rPr>
        <w:t>。</w:t>
      </w:r>
    </w:p>
    <w:p w14:paraId="3FF07E8C">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在课题研究的基础上形成了丰富的学术成果。</w:t>
      </w:r>
      <w:r>
        <w:rPr>
          <w:rFonts w:hint="eastAsia" w:ascii="仿宋_GB2312" w:hAnsi="仿宋_GB2312" w:eastAsia="仿宋_GB2312"/>
          <w:sz w:val="24"/>
        </w:rPr>
        <w:t>《城市用地的财务属性——从用地平衡表到资产负负债表》论文获得金经昌中国城市规划优秀论文三等奖；《城市更新的财务策略》中国建筑工业出版社2023年度好书一等奖。</w:t>
      </w:r>
    </w:p>
    <w:p w14:paraId="2E467C54">
      <w:pPr>
        <w:spacing w:line="360" w:lineRule="auto"/>
        <w:rPr>
          <w:rFonts w:hint="eastAsia" w:ascii="仿宋_GB2312" w:hAnsi="仿宋_GB2312" w:eastAsia="仿宋_GB2312"/>
          <w:b/>
          <w:sz w:val="24"/>
        </w:rPr>
      </w:pPr>
      <w:r>
        <w:rPr>
          <w:rFonts w:hint="eastAsia" w:ascii="仿宋_GB2312" w:hAnsi="仿宋_GB2312" w:eastAsia="仿宋_GB2312"/>
          <w:b/>
          <w:sz w:val="24"/>
        </w:rPr>
        <w:t>五、核心优势</w:t>
      </w:r>
    </w:p>
    <w:p w14:paraId="40D0D67F">
      <w:pPr>
        <w:spacing w:line="360"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1.空间分配-创新治理机制，重构街道空间使用与要素配置规则</w:t>
      </w:r>
    </w:p>
    <w:p w14:paraId="6F5C31E2">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突破以设计导则管控的传统模式，从制度设计入手创新街道空间治理机制。明确街道各类设施用地的使用权与经营权，通过制度层面引导空间使用主体行为，与传统管控措施互补，重塑街道空间使用及资源要素配置规则。</w:t>
      </w:r>
    </w:p>
    <w:p w14:paraId="3EF2A084">
      <w:pPr>
        <w:spacing w:line="360"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2.空间治理-引入市场力量，兼顾街道空间的使用秩序与活力</w:t>
      </w:r>
    </w:p>
    <w:p w14:paraId="386EF2BB">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摒弃街道空间无偿使用惯例，在保障其公共服务与公益性职能基础上，借鉴国有建设用地有偿使用制度。发挥市场在空间资源配置中的作用，将部分适宜空间资产化运营，借助价格机制提高利用效率，兼顾街道空间使用的秩序与活力。</w:t>
      </w:r>
    </w:p>
    <w:p w14:paraId="1362D0F8">
      <w:pPr>
        <w:spacing w:line="360"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3.空间增值-策划商业模式，推动街道空间资产化与保值增值</w:t>
      </w:r>
    </w:p>
    <w:p w14:paraId="24C7437F">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区别于单一聚焦“空间设计”的传统规划，本项目增加了经济财务的研究维度，兼顾“空间最优”和“经济可持续”的双重目标。针对不同类型的街道空间用地和设施特性，定制策划空间商业化利用的路径和模式，实现空间的资产化和保值增值。</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D4"/>
    <w:rsid w:val="0006229C"/>
    <w:rsid w:val="000D6979"/>
    <w:rsid w:val="00112377"/>
    <w:rsid w:val="00115409"/>
    <w:rsid w:val="001C4FD1"/>
    <w:rsid w:val="00211A21"/>
    <w:rsid w:val="002A378E"/>
    <w:rsid w:val="003712C1"/>
    <w:rsid w:val="003C0215"/>
    <w:rsid w:val="003C12EE"/>
    <w:rsid w:val="005212D6"/>
    <w:rsid w:val="005E162F"/>
    <w:rsid w:val="0071044F"/>
    <w:rsid w:val="00777C22"/>
    <w:rsid w:val="008E460A"/>
    <w:rsid w:val="009101A6"/>
    <w:rsid w:val="009D1DFF"/>
    <w:rsid w:val="009D617A"/>
    <w:rsid w:val="009E7716"/>
    <w:rsid w:val="009F5900"/>
    <w:rsid w:val="00A34F50"/>
    <w:rsid w:val="00B303D4"/>
    <w:rsid w:val="00B73503"/>
    <w:rsid w:val="00BF7D96"/>
    <w:rsid w:val="00C54E46"/>
    <w:rsid w:val="00CF7F6C"/>
    <w:rsid w:val="00D314D4"/>
    <w:rsid w:val="00D46A72"/>
    <w:rsid w:val="00D72150"/>
    <w:rsid w:val="00DA4439"/>
    <w:rsid w:val="00EA5401"/>
    <w:rsid w:val="00F16475"/>
    <w:rsid w:val="00FC0F81"/>
    <w:rsid w:val="6847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855</Words>
  <Characters>862</Characters>
  <Lines>6</Lines>
  <Paragraphs>1</Paragraphs>
  <TotalTime>0</TotalTime>
  <ScaleCrop>false</ScaleCrop>
  <LinksUpToDate>false</LinksUpToDate>
  <CharactersWithSpaces>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2025-10-10T09:22:00Z</dcterms:created>
  <dc:creator>徐铭晖</dc:creator>
  <cp:lastModifiedBy>张力</cp:lastModifiedBy>
  <dcterms:modified xsi:type="dcterms:W3CDTF">2025-10-11T07:07:03Z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eyJoZGlkIjoiODQwMzQwYTRlZjMzODc5NzNjYWExMzc0MDk3ZjUyZjMiLCJ1c2VySWQiOiIyOTM1NTE3MTIifQ==</vt:lpwstr>
  </property>
  <property fmtid="{D5CDD505-2E9C-101B-9397-08002B2CF9AE}" pid="3" name="KSOProductBuildVer">
    <vt:lpwstr>2052-12.1.0.22529</vt:lpwstr>
  </property>
  <property fmtid="{D5CDD505-2E9C-101B-9397-08002B2CF9AE}" pid="4" name="ICV">
    <vt:lpwstr>32CAA4FA335645A786BF6BD6131175AB_12</vt:lpwstr>
  </property>
</Properties>
</file>