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B9D4">
      <w:pPr>
        <w:spacing w:line="360" w:lineRule="auto"/>
        <w:rPr>
          <w:rFonts w:hint="eastAsia" w:ascii="仿宋_GB2312" w:hAnsi="仿宋_GB2312" w:eastAsia="仿宋_GB2312"/>
          <w:sz w:val="24"/>
        </w:rPr>
      </w:pPr>
      <w:r>
        <w:rPr>
          <w:rFonts w:hint="eastAsia" w:ascii="仿宋_GB2312" w:hAnsi="仿宋_GB2312" w:eastAsia="仿宋_GB2312"/>
          <w:b/>
          <w:sz w:val="24"/>
        </w:rPr>
        <w:t>一、</w:t>
      </w:r>
      <w:r>
        <w:rPr>
          <w:rFonts w:ascii="仿宋_GB2312" w:hAnsi="仿宋_GB2312" w:eastAsia="仿宋_GB2312"/>
          <w:b/>
          <w:sz w:val="24"/>
        </w:rPr>
        <w:t>项目名称</w:t>
      </w:r>
      <w:r>
        <w:rPr>
          <w:rFonts w:hint="eastAsia" w:ascii="仿宋_GB2312" w:hAnsi="仿宋_GB2312" w:eastAsia="仿宋_GB2312"/>
          <w:b/>
          <w:sz w:val="24"/>
        </w:rPr>
        <w:t>：</w:t>
      </w:r>
      <w:r>
        <w:rPr>
          <w:rFonts w:hint="eastAsia" w:ascii="仿宋_GB2312" w:hAnsi="仿宋_GB2312" w:eastAsia="仿宋_GB2312"/>
          <w:sz w:val="24"/>
        </w:rPr>
        <w:t>厦门市海沧区生态控制区国土空间利用与发展规划</w:t>
      </w:r>
    </w:p>
    <w:p w14:paraId="77AABEDF">
      <w:pPr>
        <w:spacing w:line="360" w:lineRule="auto"/>
        <w:rPr>
          <w:rFonts w:hint="eastAsia" w:ascii="仿宋_GB2312" w:hAnsi="仿宋_GB2312" w:eastAsia="仿宋_GB2312"/>
          <w:sz w:val="24"/>
        </w:rPr>
      </w:pPr>
      <w:r>
        <w:rPr>
          <w:rFonts w:hint="eastAsia" w:ascii="仿宋_GB2312" w:hAnsi="仿宋_GB2312" w:eastAsia="仿宋_GB2312"/>
          <w:b/>
          <w:sz w:val="24"/>
        </w:rPr>
        <w:t>二、</w:t>
      </w:r>
      <w:r>
        <w:rPr>
          <w:rFonts w:ascii="仿宋_GB2312" w:hAnsi="仿宋_GB2312" w:eastAsia="仿宋_GB2312"/>
          <w:b/>
          <w:sz w:val="24"/>
        </w:rPr>
        <w:t>项目类型</w:t>
      </w:r>
      <w:r>
        <w:rPr>
          <w:rFonts w:hint="eastAsia" w:ascii="仿宋_GB2312" w:hAnsi="仿宋_GB2312" w:eastAsia="仿宋_GB2312"/>
          <w:b/>
          <w:sz w:val="24"/>
        </w:rPr>
        <w:t>：</w:t>
      </w:r>
      <w:r>
        <w:rPr>
          <w:rFonts w:hint="eastAsia" w:ascii="仿宋_GB2312" w:hAnsi="仿宋_GB2312" w:eastAsia="仿宋_GB2312"/>
          <w:sz w:val="24"/>
        </w:rPr>
        <w:t>规划管理创新实践</w:t>
      </w:r>
    </w:p>
    <w:p w14:paraId="6C696E70">
      <w:pPr>
        <w:spacing w:line="360" w:lineRule="auto"/>
        <w:rPr>
          <w:rFonts w:hint="eastAsia" w:ascii="仿宋_GB2312" w:hAnsi="仿宋_GB2312" w:eastAsia="仿宋_GB2312"/>
          <w:sz w:val="24"/>
        </w:rPr>
      </w:pPr>
      <w:r>
        <w:rPr>
          <w:rFonts w:hint="eastAsia" w:ascii="仿宋_GB2312" w:hAnsi="仿宋_GB2312" w:eastAsia="仿宋_GB2312"/>
          <w:b/>
          <w:sz w:val="24"/>
        </w:rPr>
        <w:t>三、</w:t>
      </w:r>
      <w:r>
        <w:rPr>
          <w:rFonts w:ascii="仿宋_GB2312" w:hAnsi="仿宋_GB2312" w:eastAsia="仿宋_GB2312"/>
          <w:b/>
          <w:sz w:val="24"/>
        </w:rPr>
        <w:t>完成单位</w:t>
      </w:r>
      <w:r>
        <w:rPr>
          <w:rFonts w:hint="eastAsia" w:ascii="仿宋_GB2312" w:hAnsi="仿宋_GB2312" w:eastAsia="仿宋_GB2312"/>
          <w:b/>
          <w:sz w:val="24"/>
        </w:rPr>
        <w:t>：</w:t>
      </w:r>
      <w:r>
        <w:rPr>
          <w:rFonts w:ascii="仿宋_GB2312" w:hAnsi="仿宋_GB2312" w:eastAsia="仿宋_GB2312"/>
          <w:sz w:val="24"/>
        </w:rPr>
        <w:t>厦门大学规划设计研究院有限公司</w:t>
      </w:r>
      <w:r>
        <w:rPr>
          <w:rFonts w:hint="eastAsia" w:ascii="仿宋_GB2312" w:hAnsi="仿宋_GB2312" w:eastAsia="仿宋_GB2312"/>
          <w:sz w:val="24"/>
          <w:lang w:eastAsia="zh-CN"/>
        </w:rPr>
        <w:t>、</w:t>
      </w:r>
      <w:r>
        <w:rPr>
          <w:rFonts w:hint="eastAsia" w:ascii="仿宋_GB2312" w:hAnsi="仿宋_GB2312" w:eastAsia="仿宋_GB2312"/>
          <w:sz w:val="24"/>
          <w:lang w:val="en-US" w:eastAsia="zh-CN"/>
        </w:rPr>
        <w:t>厦门大学</w:t>
      </w:r>
      <w:bookmarkStart w:id="0" w:name="_GoBack"/>
      <w:bookmarkEnd w:id="0"/>
    </w:p>
    <w:p w14:paraId="23BEC197">
      <w:pPr>
        <w:spacing w:line="360" w:lineRule="auto"/>
        <w:rPr>
          <w:rFonts w:hint="eastAsia" w:ascii="仿宋_GB2312" w:hAnsi="仿宋_GB2312" w:eastAsia="仿宋_GB2312"/>
          <w:b/>
          <w:sz w:val="24"/>
        </w:rPr>
      </w:pPr>
      <w:r>
        <w:rPr>
          <w:rFonts w:hint="eastAsia" w:ascii="仿宋_GB2312" w:hAnsi="仿宋_GB2312" w:eastAsia="仿宋_GB2312"/>
          <w:b/>
          <w:sz w:val="24"/>
        </w:rPr>
        <w:t>四、项目特色：</w:t>
      </w:r>
    </w:p>
    <w:p w14:paraId="1EF7BF6E">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1、构建生态控制区“空间耦合”发展潜力分析模型，建立空间发展潜力资源库：采用空间耦合的分析方法，对生态控制区影响性要素（坡度、高程、生态保护等级、地类情况、城绿空间关系…）、控制性要素（生态保护红线、永久基本农田、水源保护范围、生态公益林…）进行分析，构建空间发展潜力分析模型，将海沧区生态控制区空间分为生态强制保护区、战略预留及弹性发展区、核心潜力发展区，并建立发展空间资源库，为下一步制定生态控制区空间管控及发展规划奠定基础。</w:t>
      </w:r>
    </w:p>
    <w:p w14:paraId="4A68E43A">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2、以“跨区合作+分类判断”的方式优化生态控制区项目准入机制：针对规模较大、建设内容较为复杂的项目进行生态准入分析时，需要转变传统“一刀切”式的生态准入判断方式，将项目的建设内容进行有序分解，符合准入条件的部分给与准入，不符合准入条件的部分利用与生态控制区接壤的城市建设区建设，通过“跨区合作+分类判断”的分析方式，将项目的建设内容进行有序分解。</w:t>
      </w:r>
    </w:p>
    <w:p w14:paraId="575458BC">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3、以空间融合、功能复合的发展策略，探索面向实施的大都市区生态产品价值实现路径：项目提出城市发展要转变传统生态空间做为边缘隔离的背园发展模式，转向面向生态控制区，聚集特色配套设施，以生态控制区作为核心组织城市空间，拥园发展、城绿融合的发展模式。同时，提出生态空间文商旅体多元复合的“生态+”利用模式，将不同的功能植入到生态空间，包括：生态+都市现代农业、生态+休闲娱乐、生态+休闲度假、生态+体育健身、生态+产业营管/研发、生态+会展商贸、生态+康养医药…，寻找合适生态空间做为城市防灾战略储备空间，“平急结合”，复合利用。</w:t>
      </w:r>
    </w:p>
    <w:p w14:paraId="2E467C54">
      <w:pPr>
        <w:spacing w:line="360" w:lineRule="auto"/>
        <w:rPr>
          <w:rFonts w:hint="eastAsia" w:ascii="仿宋_GB2312" w:hAnsi="仿宋_GB2312" w:eastAsia="仿宋_GB2312"/>
          <w:b/>
          <w:sz w:val="24"/>
        </w:rPr>
      </w:pPr>
      <w:r>
        <w:rPr>
          <w:rFonts w:hint="eastAsia" w:ascii="仿宋_GB2312" w:hAnsi="仿宋_GB2312" w:eastAsia="仿宋_GB2312"/>
          <w:b/>
          <w:sz w:val="24"/>
        </w:rPr>
        <w:t>五、</w:t>
      </w:r>
      <w:r>
        <w:rPr>
          <w:rFonts w:ascii="仿宋_GB2312" w:hAnsi="仿宋_GB2312" w:eastAsia="仿宋_GB2312"/>
          <w:b/>
          <w:sz w:val="24"/>
        </w:rPr>
        <w:t>实施情况及成效</w:t>
      </w:r>
    </w:p>
    <w:p w14:paraId="24C7437F">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项目编制成果已经做为厦门市海沧区生态控制区保护与利用工作的重要指引：由本次规划形成的重点项目行动计划已陆续开展相关工程建设及相关规划编制，如京口公园的建设、马青路两侧慢道提升等；在相关制度管理上，厦门市人民政府于2021 年12 月修订出台《厦门市生态控制线管理实施规定》，在项目准入要求判别机制上做了更为细致的指引，在总体思路上与本项目是相吻合的。本项目的规划编制工作得到了主管部门的高度认可，对大都市区生态空间的保护与利用发展具有一定的借鉴意义。</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D4"/>
    <w:rsid w:val="00024C24"/>
    <w:rsid w:val="00112377"/>
    <w:rsid w:val="00115409"/>
    <w:rsid w:val="001556CF"/>
    <w:rsid w:val="002A378E"/>
    <w:rsid w:val="003C0215"/>
    <w:rsid w:val="003C12EE"/>
    <w:rsid w:val="005212D6"/>
    <w:rsid w:val="005E162F"/>
    <w:rsid w:val="0070062E"/>
    <w:rsid w:val="0071044F"/>
    <w:rsid w:val="00777C22"/>
    <w:rsid w:val="008E460A"/>
    <w:rsid w:val="009101A6"/>
    <w:rsid w:val="009D1DFF"/>
    <w:rsid w:val="009D617A"/>
    <w:rsid w:val="009F5900"/>
    <w:rsid w:val="00A34F50"/>
    <w:rsid w:val="00B303D4"/>
    <w:rsid w:val="00B73503"/>
    <w:rsid w:val="00BF7D96"/>
    <w:rsid w:val="00C54E46"/>
    <w:rsid w:val="00CC7634"/>
    <w:rsid w:val="00CF7F6C"/>
    <w:rsid w:val="00D314D4"/>
    <w:rsid w:val="00D46A72"/>
    <w:rsid w:val="00D72150"/>
    <w:rsid w:val="00DA4439"/>
    <w:rsid w:val="00F16475"/>
    <w:rsid w:val="00FC0F81"/>
    <w:rsid w:val="00FD3A4A"/>
    <w:rsid w:val="6BB80742"/>
    <w:rsid w:val="6D221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951</Words>
  <Characters>955</Characters>
  <Lines>34</Lines>
  <Paragraphs>25</Paragraphs>
  <TotalTime>0</TotalTime>
  <ScaleCrop>false</ScaleCrop>
  <LinksUpToDate>false</LinksUpToDate>
  <CharactersWithSpaces>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2025-10-10T09:20:00Z</dcterms:created>
  <dc:creator>徐铭晖</dc:creator>
  <cp:lastModifiedBy>张力</cp:lastModifiedBy>
  <dcterms:modified xsi:type="dcterms:W3CDTF">2025-10-11T07:07:34Z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eyJoZGlkIjoiODQwMzQwYTRlZjMzODc5NzNjYWExMzc0MDk3ZjUyZjMiLCJ1c2VySWQiOiIyOTM1NTE3MTIifQ==</vt:lpwstr>
  </property>
  <property fmtid="{D5CDD505-2E9C-101B-9397-08002B2CF9AE}" pid="3" name="KSOProductBuildVer">
    <vt:lpwstr>2052-12.1.0.22529</vt:lpwstr>
  </property>
  <property fmtid="{D5CDD505-2E9C-101B-9397-08002B2CF9AE}" pid="4" name="ICV">
    <vt:lpwstr>4AE534DB7E5342E7A2D56F0555765351_13</vt:lpwstr>
  </property>
</Properties>
</file>