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17A" w:rsidRPr="00C54E46" w:rsidRDefault="00C54E46" w:rsidP="00C54E46">
      <w:pPr>
        <w:spacing w:line="360" w:lineRule="auto"/>
        <w:rPr>
          <w:rFonts w:ascii="仿宋_GB2312" w:eastAsia="仿宋_GB2312" w:hAnsi="仿宋_GB2312"/>
          <w:sz w:val="24"/>
        </w:rPr>
      </w:pPr>
      <w:r w:rsidRPr="00C54E46">
        <w:rPr>
          <w:rFonts w:ascii="仿宋_GB2312" w:eastAsia="仿宋_GB2312" w:hAnsi="仿宋_GB2312" w:hint="eastAsia"/>
          <w:b/>
          <w:sz w:val="24"/>
        </w:rPr>
        <w:t>一、</w:t>
      </w:r>
      <w:r w:rsidRPr="00C54E46">
        <w:rPr>
          <w:rFonts w:ascii="仿宋_GB2312" w:eastAsia="仿宋_GB2312" w:hAnsi="仿宋_GB2312"/>
          <w:b/>
          <w:sz w:val="24"/>
        </w:rPr>
        <w:t>项目名称</w:t>
      </w:r>
      <w:r w:rsidRPr="00C54E46">
        <w:rPr>
          <w:rFonts w:ascii="仿宋_GB2312" w:eastAsia="仿宋_GB2312" w:hAnsi="仿宋_GB2312" w:hint="eastAsia"/>
          <w:b/>
          <w:sz w:val="24"/>
        </w:rPr>
        <w:t>：</w:t>
      </w:r>
      <w:bookmarkStart w:id="0" w:name="_GoBack"/>
      <w:r w:rsidRPr="00C54E46">
        <w:rPr>
          <w:rFonts w:ascii="仿宋_GB2312" w:eastAsia="仿宋_GB2312" w:hAnsi="仿宋_GB2312"/>
          <w:sz w:val="24"/>
        </w:rPr>
        <w:t>基于陆海统筹的厦门市海岸带及海岛空间协同规划研究</w:t>
      </w:r>
      <w:bookmarkEnd w:id="0"/>
    </w:p>
    <w:p w:rsidR="00C54E46" w:rsidRPr="00C54E46" w:rsidRDefault="00C54E46" w:rsidP="00C54E46">
      <w:pPr>
        <w:spacing w:line="360" w:lineRule="auto"/>
        <w:rPr>
          <w:rFonts w:ascii="仿宋_GB2312" w:eastAsia="仿宋_GB2312" w:hAnsi="仿宋_GB2312"/>
          <w:sz w:val="24"/>
        </w:rPr>
      </w:pPr>
      <w:r w:rsidRPr="00C54E46">
        <w:rPr>
          <w:rFonts w:ascii="仿宋_GB2312" w:eastAsia="仿宋_GB2312" w:hAnsi="仿宋_GB2312" w:hint="eastAsia"/>
          <w:b/>
          <w:sz w:val="24"/>
        </w:rPr>
        <w:t>二、</w:t>
      </w:r>
      <w:r w:rsidRPr="00C54E46">
        <w:rPr>
          <w:rFonts w:ascii="仿宋_GB2312" w:eastAsia="仿宋_GB2312" w:hAnsi="仿宋_GB2312"/>
          <w:b/>
          <w:sz w:val="24"/>
        </w:rPr>
        <w:t>项目类型</w:t>
      </w:r>
      <w:r w:rsidRPr="00C54E46">
        <w:rPr>
          <w:rFonts w:ascii="仿宋_GB2312" w:eastAsia="仿宋_GB2312" w:hAnsi="仿宋_GB2312" w:hint="eastAsia"/>
          <w:b/>
          <w:sz w:val="24"/>
        </w:rPr>
        <w:t>：</w:t>
      </w:r>
      <w:r w:rsidRPr="00C54E46">
        <w:rPr>
          <w:rFonts w:ascii="仿宋_GB2312" w:eastAsia="仿宋_GB2312" w:hAnsi="仿宋_GB2312"/>
          <w:sz w:val="24"/>
        </w:rPr>
        <w:t>规划数智化与技术创新实践</w:t>
      </w:r>
    </w:p>
    <w:p w:rsidR="00C54E46" w:rsidRPr="00C54E46" w:rsidRDefault="00C54E46" w:rsidP="00C54E46">
      <w:pPr>
        <w:spacing w:line="360" w:lineRule="auto"/>
        <w:rPr>
          <w:rFonts w:ascii="仿宋_GB2312" w:eastAsia="仿宋_GB2312" w:hAnsi="仿宋_GB2312"/>
          <w:sz w:val="24"/>
        </w:rPr>
      </w:pPr>
      <w:r w:rsidRPr="00C54E46">
        <w:rPr>
          <w:rFonts w:ascii="仿宋_GB2312" w:eastAsia="仿宋_GB2312" w:hAnsi="仿宋_GB2312" w:hint="eastAsia"/>
          <w:b/>
          <w:sz w:val="24"/>
        </w:rPr>
        <w:t>三、</w:t>
      </w:r>
      <w:r w:rsidRPr="00C54E46">
        <w:rPr>
          <w:rFonts w:ascii="仿宋_GB2312" w:eastAsia="仿宋_GB2312" w:hAnsi="仿宋_GB2312"/>
          <w:b/>
          <w:sz w:val="24"/>
        </w:rPr>
        <w:t>完成单位</w:t>
      </w:r>
      <w:r w:rsidRPr="00C54E46">
        <w:rPr>
          <w:rFonts w:ascii="仿宋_GB2312" w:eastAsia="仿宋_GB2312" w:hAnsi="仿宋_GB2312" w:hint="eastAsia"/>
          <w:b/>
          <w:sz w:val="24"/>
        </w:rPr>
        <w:t>：</w:t>
      </w:r>
      <w:r w:rsidRPr="00C54E46">
        <w:rPr>
          <w:rFonts w:ascii="仿宋_GB2312" w:eastAsia="仿宋_GB2312" w:hAnsi="仿宋_GB2312"/>
          <w:sz w:val="24"/>
        </w:rPr>
        <w:t>厦门大学</w:t>
      </w:r>
      <w:r w:rsidRPr="00C54E46">
        <w:rPr>
          <w:rFonts w:ascii="仿宋_GB2312" w:eastAsia="仿宋_GB2312" w:hAnsi="仿宋_GB2312" w:hint="eastAsia"/>
          <w:sz w:val="24"/>
        </w:rPr>
        <w:t>、</w:t>
      </w:r>
      <w:r w:rsidRPr="00C54E46">
        <w:rPr>
          <w:rFonts w:ascii="仿宋_GB2312" w:eastAsia="仿宋_GB2312" w:hAnsi="仿宋_GB2312"/>
          <w:sz w:val="24"/>
        </w:rPr>
        <w:t>厦门大学规划设计研究院有限公司</w:t>
      </w:r>
    </w:p>
    <w:p w:rsidR="00C54E46" w:rsidRPr="00C54E46" w:rsidRDefault="00C54E46" w:rsidP="00C54E46">
      <w:pPr>
        <w:spacing w:line="360" w:lineRule="auto"/>
        <w:rPr>
          <w:rFonts w:ascii="仿宋_GB2312" w:eastAsia="仿宋_GB2312" w:hAnsi="仿宋_GB2312"/>
          <w:b/>
          <w:sz w:val="24"/>
        </w:rPr>
      </w:pPr>
      <w:r w:rsidRPr="00C54E46">
        <w:rPr>
          <w:rFonts w:ascii="仿宋_GB2312" w:eastAsia="仿宋_GB2312" w:hAnsi="仿宋_GB2312" w:hint="eastAsia"/>
          <w:b/>
          <w:sz w:val="24"/>
        </w:rPr>
        <w:t>四、</w:t>
      </w:r>
      <w:r w:rsidRPr="00C54E46">
        <w:rPr>
          <w:rFonts w:ascii="仿宋_GB2312" w:eastAsia="仿宋_GB2312" w:hAnsi="仿宋_GB2312"/>
          <w:b/>
          <w:sz w:val="24"/>
        </w:rPr>
        <w:t>实施情况及成效</w:t>
      </w:r>
      <w:r w:rsidRPr="00C54E46">
        <w:rPr>
          <w:rFonts w:ascii="仿宋_GB2312" w:eastAsia="仿宋_GB2312" w:hAnsi="仿宋_GB2312" w:hint="eastAsia"/>
          <w:b/>
          <w:sz w:val="24"/>
        </w:rPr>
        <w:t>：</w:t>
      </w:r>
    </w:p>
    <w:p w:rsidR="00C54E46" w:rsidRPr="00C54E46" w:rsidRDefault="00C54E46" w:rsidP="00C54E46">
      <w:pPr>
        <w:spacing w:line="360" w:lineRule="auto"/>
        <w:ind w:firstLineChars="200" w:firstLine="480"/>
        <w:rPr>
          <w:rFonts w:ascii="仿宋_GB2312" w:eastAsia="仿宋_GB2312" w:hAnsi="仿宋_GB2312"/>
          <w:sz w:val="24"/>
        </w:rPr>
      </w:pPr>
      <w:r>
        <w:rPr>
          <w:rFonts w:ascii="仿宋_GB2312" w:eastAsia="仿宋_GB2312" w:hAnsi="仿宋_GB2312"/>
          <w:sz w:val="24"/>
        </w:rPr>
        <w:t>1</w:t>
      </w:r>
      <w:r>
        <w:rPr>
          <w:rFonts w:ascii="仿宋_GB2312" w:eastAsia="仿宋_GB2312" w:hAnsi="仿宋_GB2312" w:hint="eastAsia"/>
          <w:sz w:val="24"/>
        </w:rPr>
        <w:t>、</w:t>
      </w:r>
      <w:r w:rsidRPr="00C54E46">
        <w:rPr>
          <w:rFonts w:ascii="仿宋_GB2312" w:eastAsia="仿宋_GB2312" w:hAnsi="仿宋_GB2312"/>
          <w:sz w:val="24"/>
        </w:rPr>
        <w:t>本研究成果有效支撑了厦门市总规的陆海统筹空间布局规划；</w:t>
      </w:r>
    </w:p>
    <w:p w:rsidR="00C54E46" w:rsidRPr="00C54E46" w:rsidRDefault="00C54E46" w:rsidP="00C54E46">
      <w:pPr>
        <w:spacing w:line="360" w:lineRule="auto"/>
        <w:ind w:firstLineChars="200" w:firstLine="480"/>
        <w:rPr>
          <w:rFonts w:ascii="仿宋_GB2312" w:eastAsia="仿宋_GB2312" w:hAnsi="仿宋_GB2312"/>
          <w:sz w:val="24"/>
        </w:rPr>
      </w:pPr>
      <w:r>
        <w:rPr>
          <w:rFonts w:ascii="仿宋_GB2312" w:eastAsia="仿宋_GB2312" w:hAnsi="仿宋_GB2312"/>
          <w:sz w:val="24"/>
        </w:rPr>
        <w:t>2</w:t>
      </w:r>
      <w:r>
        <w:rPr>
          <w:rFonts w:ascii="仿宋_GB2312" w:eastAsia="仿宋_GB2312" w:hAnsi="仿宋_GB2312" w:hint="eastAsia"/>
          <w:sz w:val="24"/>
        </w:rPr>
        <w:t>、</w:t>
      </w:r>
      <w:r w:rsidRPr="00C54E46">
        <w:rPr>
          <w:rFonts w:ascii="仿宋_GB2312" w:eastAsia="仿宋_GB2312" w:hAnsi="仿宋_GB2312"/>
          <w:sz w:val="24"/>
        </w:rPr>
        <w:t xml:space="preserve">有效指引了环东海域下潭尾生态公园、集美大桥红树林公园，滨海西大道、滨海东大道沿线的海岸带生态化修复等项目的规划与落地实施； </w:t>
      </w:r>
    </w:p>
    <w:p w:rsidR="00C54E46" w:rsidRPr="00C54E46" w:rsidRDefault="00C54E46" w:rsidP="00C54E46">
      <w:pPr>
        <w:spacing w:line="360" w:lineRule="auto"/>
        <w:ind w:firstLineChars="200" w:firstLine="480"/>
        <w:rPr>
          <w:rFonts w:ascii="仿宋_GB2312" w:eastAsia="仿宋_GB2312" w:hAnsi="仿宋_GB2312"/>
          <w:sz w:val="24"/>
        </w:rPr>
      </w:pPr>
      <w:r>
        <w:rPr>
          <w:rFonts w:ascii="仿宋_GB2312" w:eastAsia="仿宋_GB2312" w:hAnsi="仿宋_GB2312"/>
          <w:sz w:val="24"/>
        </w:rPr>
        <w:t>3</w:t>
      </w:r>
      <w:r>
        <w:rPr>
          <w:rFonts w:ascii="仿宋_GB2312" w:eastAsia="仿宋_GB2312" w:hAnsi="仿宋_GB2312" w:hint="eastAsia"/>
          <w:sz w:val="24"/>
        </w:rPr>
        <w:t>、</w:t>
      </w:r>
      <w:r w:rsidRPr="00C54E46">
        <w:rPr>
          <w:rFonts w:ascii="仿宋_GB2312" w:eastAsia="仿宋_GB2312" w:hAnsi="仿宋_GB2312"/>
          <w:sz w:val="24"/>
        </w:rPr>
        <w:t>有效推进了厦大白城段、五缘湾等区段的入海排污口的迁移，目前排污口已完成向外海及深海排放的改造提升。</w:t>
      </w:r>
    </w:p>
    <w:p w:rsidR="00C54E46" w:rsidRPr="00C54E46" w:rsidRDefault="00C54E46" w:rsidP="00C54E46">
      <w:pPr>
        <w:spacing w:line="360" w:lineRule="auto"/>
        <w:rPr>
          <w:rFonts w:ascii="仿宋_GB2312" w:eastAsia="仿宋_GB2312" w:hAnsi="仿宋_GB2312"/>
          <w:b/>
          <w:sz w:val="24"/>
        </w:rPr>
      </w:pPr>
      <w:r w:rsidRPr="00C54E46">
        <w:rPr>
          <w:rFonts w:ascii="仿宋_GB2312" w:eastAsia="仿宋_GB2312" w:hAnsi="仿宋_GB2312" w:hint="eastAsia"/>
          <w:b/>
          <w:sz w:val="24"/>
        </w:rPr>
        <w:t>五、核心优势</w:t>
      </w:r>
    </w:p>
    <w:p w:rsidR="00C54E46" w:rsidRPr="00C54E46" w:rsidRDefault="00C54E46" w:rsidP="00C54E46">
      <w:pPr>
        <w:spacing w:line="360" w:lineRule="auto"/>
        <w:ind w:firstLineChars="200" w:firstLine="480"/>
        <w:rPr>
          <w:rFonts w:ascii="仿宋_GB2312" w:eastAsia="仿宋_GB2312" w:hAnsi="仿宋_GB2312"/>
          <w:sz w:val="24"/>
        </w:rPr>
      </w:pPr>
      <w:r w:rsidRPr="00C54E46">
        <w:rPr>
          <w:rFonts w:ascii="仿宋_GB2312" w:eastAsia="仿宋_GB2312" w:hAnsi="仿宋_GB2312"/>
          <w:sz w:val="24"/>
        </w:rPr>
        <w:t>1</w:t>
      </w:r>
      <w:r>
        <w:rPr>
          <w:rFonts w:ascii="仿宋_GB2312" w:eastAsia="仿宋_GB2312" w:hAnsi="仿宋_GB2312" w:hint="eastAsia"/>
          <w:sz w:val="24"/>
        </w:rPr>
        <w:t>、</w:t>
      </w:r>
      <w:r w:rsidRPr="00C54E46">
        <w:rPr>
          <w:rFonts w:ascii="仿宋_GB2312" w:eastAsia="仿宋_GB2312" w:hAnsi="仿宋_GB2312"/>
          <w:sz w:val="24"/>
        </w:rPr>
        <w:t>构建了基于“陆域建设压力-海洋生态安全”的陆海耦合协调模型。系统梳理陆域建设压力、海洋生态安全的关键影响因子及其标准，构建陆海耦合协调模型。科学明晰海岸带生态安全底线，识别陆海矛盾区段。</w:t>
      </w:r>
    </w:p>
    <w:p w:rsidR="00C54E46" w:rsidRPr="00C54E46" w:rsidRDefault="00C54E46" w:rsidP="00C54E46">
      <w:pPr>
        <w:spacing w:line="360" w:lineRule="auto"/>
        <w:ind w:firstLineChars="200" w:firstLine="480"/>
        <w:rPr>
          <w:rFonts w:ascii="仿宋_GB2312" w:eastAsia="仿宋_GB2312" w:hAnsi="仿宋_GB2312"/>
          <w:sz w:val="24"/>
        </w:rPr>
      </w:pPr>
      <w:r w:rsidRPr="00C54E46">
        <w:rPr>
          <w:rFonts w:ascii="仿宋_GB2312" w:eastAsia="仿宋_GB2312" w:hAnsi="仿宋_GB2312"/>
          <w:sz w:val="24"/>
        </w:rPr>
        <w:t>2</w:t>
      </w:r>
      <w:r>
        <w:rPr>
          <w:rFonts w:ascii="仿宋_GB2312" w:eastAsia="仿宋_GB2312" w:hAnsi="仿宋_GB2312" w:hint="eastAsia"/>
          <w:sz w:val="24"/>
        </w:rPr>
        <w:t>、</w:t>
      </w:r>
      <w:r w:rsidRPr="00C54E46">
        <w:rPr>
          <w:rFonts w:ascii="仿宋_GB2312" w:eastAsia="仿宋_GB2312" w:hAnsi="仿宋_GB2312"/>
          <w:sz w:val="24"/>
        </w:rPr>
        <w:t>探索“以海定陆、以陆优海、陆海协同”差异化应对的规划路径。科学辨析海岸带空间发展与生态保护背后的关系逻辑，通过分区段分类型差异化指引，推进陆海生态资源有效保护和高价值海岸带空间的高效利用。</w:t>
      </w:r>
    </w:p>
    <w:p w:rsidR="00C54E46" w:rsidRPr="00C54E46" w:rsidRDefault="00C54E46" w:rsidP="00C54E46">
      <w:pPr>
        <w:spacing w:line="360" w:lineRule="auto"/>
        <w:ind w:firstLineChars="200" w:firstLine="480"/>
        <w:rPr>
          <w:rFonts w:ascii="仿宋_GB2312" w:eastAsia="仿宋_GB2312" w:hAnsi="仿宋_GB2312" w:hint="eastAsia"/>
          <w:sz w:val="24"/>
        </w:rPr>
      </w:pPr>
      <w:r w:rsidRPr="00C54E46">
        <w:rPr>
          <w:rFonts w:ascii="仿宋_GB2312" w:eastAsia="仿宋_GB2312" w:hAnsi="仿宋_GB2312"/>
          <w:sz w:val="24"/>
        </w:rPr>
        <w:t>3</w:t>
      </w:r>
      <w:r>
        <w:rPr>
          <w:rFonts w:ascii="仿宋_GB2312" w:eastAsia="仿宋_GB2312" w:hAnsi="仿宋_GB2312" w:hint="eastAsia"/>
          <w:sz w:val="24"/>
        </w:rPr>
        <w:t>、</w:t>
      </w:r>
      <w:r w:rsidRPr="00C54E46">
        <w:rPr>
          <w:rFonts w:ascii="仿宋_GB2312" w:eastAsia="仿宋_GB2312" w:hAnsi="仿宋_GB2312"/>
          <w:sz w:val="24"/>
        </w:rPr>
        <w:t>制定海岸带重点单元管理图则，促进规划传导与实施落地。通过海岸带单元图则的形式落实陆海发展管控与指引细则的各项指标要求，并支撑了本次陆海统筹专题规划在总规和详规之间的有效衔接与传导。</w:t>
      </w:r>
    </w:p>
    <w:sectPr w:rsidR="00C54E46" w:rsidRPr="00C54E46" w:rsidSect="00B73503">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仿宋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D4"/>
    <w:rsid w:val="00112377"/>
    <w:rsid w:val="00115409"/>
    <w:rsid w:val="002A378E"/>
    <w:rsid w:val="003C0215"/>
    <w:rsid w:val="003C12EE"/>
    <w:rsid w:val="005212D6"/>
    <w:rsid w:val="005E162F"/>
    <w:rsid w:val="0071044F"/>
    <w:rsid w:val="00777C22"/>
    <w:rsid w:val="008E460A"/>
    <w:rsid w:val="009D1DFF"/>
    <w:rsid w:val="009D617A"/>
    <w:rsid w:val="009F5900"/>
    <w:rsid w:val="00B303D4"/>
    <w:rsid w:val="00B73503"/>
    <w:rsid w:val="00BF7D96"/>
    <w:rsid w:val="00C54E46"/>
    <w:rsid w:val="00CF7F6C"/>
    <w:rsid w:val="00D314D4"/>
    <w:rsid w:val="00D46A72"/>
    <w:rsid w:val="00F16475"/>
    <w:rsid w:val="00FC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FF6094"/>
  <w15:chartTrackingRefBased/>
  <w15:docId w15:val="{9731D8DA-74AF-7A49-B9D4-6AE63056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徐铭晖</dc:creator>
  <cp:keywords/>
  <dc:description/>
  <cp:lastModifiedBy>徐铭晖</cp:lastModifiedBy>
  <cp:revision>2</cp:revision>
  <dcterms:created xsi:type="dcterms:W3CDTF">2025-09-30T06:53:00Z</dcterms:created>
  <dcterms:modified xsi:type="dcterms:W3CDTF">2025-09-30T06:56:00Z</dcterms:modified>
</cp:coreProperties>
</file>